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8E" w:rsidRDefault="005D3B91" w:rsidP="00D21405">
      <w:pPr>
        <w:jc w:val="center"/>
        <w:rPr>
          <w:b/>
          <w:sz w:val="28"/>
          <w:szCs w:val="28"/>
        </w:rPr>
      </w:pPr>
      <w:bookmarkStart w:id="0" w:name="_GoBack"/>
      <w:bookmarkEnd w:id="0"/>
      <w:r w:rsidRPr="00484FCC">
        <w:rPr>
          <w:b/>
          <w:sz w:val="28"/>
          <w:szCs w:val="28"/>
        </w:rPr>
        <w:t xml:space="preserve">Sample Interface </w:t>
      </w:r>
      <w:r w:rsidR="00AF42F6" w:rsidRPr="00484FCC">
        <w:rPr>
          <w:b/>
          <w:sz w:val="28"/>
          <w:szCs w:val="28"/>
        </w:rPr>
        <w:t>between</w:t>
      </w:r>
      <w:r w:rsidRPr="00484FCC">
        <w:rPr>
          <w:b/>
          <w:sz w:val="28"/>
          <w:szCs w:val="28"/>
        </w:rPr>
        <w:t xml:space="preserve"> Transferable Skills and Graduation </w:t>
      </w:r>
      <w:r w:rsidR="002036F0" w:rsidRPr="00484FCC">
        <w:rPr>
          <w:b/>
          <w:sz w:val="28"/>
          <w:szCs w:val="28"/>
        </w:rPr>
        <w:t>Proficiencies</w:t>
      </w:r>
    </w:p>
    <w:p w:rsidR="00402783" w:rsidRPr="00402783" w:rsidRDefault="00402783" w:rsidP="00402783">
      <w:pPr>
        <w:rPr>
          <w:b/>
          <w:i/>
        </w:rPr>
      </w:pPr>
      <w:r>
        <w:rPr>
          <w:b/>
          <w:i/>
        </w:rPr>
        <w:t>This resource provides an optional approach to representing content area and transferable skills proficiencies in the curriculum planning process.  The proficiencies in the table were taken from the AOE’s sample proficiencies, but could be replaced with locally-developed proficiencies for schools not following the AOE model.</w:t>
      </w:r>
    </w:p>
    <w:p w:rsidR="00484FCC" w:rsidRPr="0005373B" w:rsidRDefault="00484FCC" w:rsidP="00484FCC">
      <w:r>
        <w:t>As teachers plan curriculum, instruction and assessment, t</w:t>
      </w:r>
      <w:r w:rsidRPr="0005373B">
        <w:t xml:space="preserve">his document is provided as a sample of how the transferable skills </w:t>
      </w:r>
      <w:r>
        <w:t xml:space="preserve">might correspond with content </w:t>
      </w:r>
      <w:r w:rsidRPr="0005373B">
        <w:t xml:space="preserve">graduation proficiency </w:t>
      </w:r>
      <w:r>
        <w:t>indicators. There are many possibly ways that transferable skills correspond with different content performance indicators.</w:t>
      </w:r>
      <w:r w:rsidRPr="0005373B">
        <w:t xml:space="preserve"> </w:t>
      </w:r>
      <w:r>
        <w:t xml:space="preserve">Content area teachers will find that there are multiple combinations of performance indicators which correspond to transferable skill graduation proficiencies. A student must demonstrate evidence of proficiency across both transferable skills and content that serve as benchmarks of learning progression or graduation requirements. </w:t>
      </w:r>
      <w:r w:rsidRPr="0005373B">
        <w:t xml:space="preserve">The corresponding examples of </w:t>
      </w:r>
      <w:r>
        <w:t xml:space="preserve">assessment prompts may be used in </w:t>
      </w:r>
      <w:r w:rsidRPr="0005373B">
        <w:t>development of performance tasks to assess the</w:t>
      </w:r>
      <w:r>
        <w:t xml:space="preserve"> content</w:t>
      </w:r>
      <w:r w:rsidRPr="0005373B">
        <w:t xml:space="preserve"> per</w:t>
      </w:r>
      <w:r>
        <w:t>formance indicators and transfe</w:t>
      </w:r>
      <w:r w:rsidRPr="0005373B">
        <w:t>rable skills.</w:t>
      </w:r>
      <w:r>
        <w:t xml:space="preserve"> </w:t>
      </w:r>
    </w:p>
    <w:p w:rsidR="00484FCC" w:rsidRDefault="00484FCC" w:rsidP="00484FCC">
      <w:pPr>
        <w:spacing w:after="0" w:line="240" w:lineRule="auto"/>
        <w:jc w:val="center"/>
        <w:rPr>
          <w:b/>
          <w:color w:val="008000"/>
          <w:sz w:val="24"/>
          <w:szCs w:val="24"/>
        </w:rPr>
      </w:pPr>
      <w:r w:rsidRPr="0032689F">
        <w:rPr>
          <w:b/>
          <w:color w:val="008000"/>
          <w:sz w:val="24"/>
          <w:szCs w:val="24"/>
        </w:rPr>
        <w:t xml:space="preserve">Graduation </w:t>
      </w:r>
      <w:r>
        <w:rPr>
          <w:b/>
          <w:color w:val="008000"/>
          <w:sz w:val="24"/>
          <w:szCs w:val="24"/>
        </w:rPr>
        <w:t>Proficiency: Performance Indicators for Health Education, High School School</w:t>
      </w:r>
    </w:p>
    <w:p w:rsidR="00484FCC" w:rsidRDefault="00484FCC" w:rsidP="00484FCC">
      <w:pPr>
        <w:spacing w:after="0" w:line="240" w:lineRule="auto"/>
        <w:jc w:val="center"/>
        <w:rPr>
          <w:b/>
          <w:color w:val="008000"/>
          <w:sz w:val="24"/>
          <w:szCs w:val="24"/>
        </w:rPr>
      </w:pPr>
    </w:p>
    <w:p w:rsidR="00484FCC" w:rsidRDefault="00484FCC" w:rsidP="00484FCC">
      <w:pPr>
        <w:spacing w:after="0" w:line="240" w:lineRule="auto"/>
        <w:jc w:val="center"/>
        <w:rPr>
          <w:b/>
          <w:color w:val="4F81BD" w:themeColor="accent1"/>
          <w:sz w:val="24"/>
          <w:szCs w:val="24"/>
        </w:rPr>
      </w:pPr>
      <w:r w:rsidRPr="0032689F">
        <w:rPr>
          <w:b/>
          <w:color w:val="4F81BD" w:themeColor="accent1"/>
          <w:sz w:val="24"/>
          <w:szCs w:val="24"/>
        </w:rPr>
        <w:t xml:space="preserve">Transferable Skills Graduation </w:t>
      </w:r>
      <w:r>
        <w:rPr>
          <w:b/>
          <w:color w:val="4F81BD" w:themeColor="accent1"/>
          <w:sz w:val="24"/>
          <w:szCs w:val="24"/>
        </w:rPr>
        <w:t>Proficiency:</w:t>
      </w:r>
      <w:r w:rsidRPr="0032689F">
        <w:rPr>
          <w:b/>
          <w:color w:val="4F81BD" w:themeColor="accent1"/>
          <w:sz w:val="24"/>
          <w:szCs w:val="24"/>
        </w:rPr>
        <w:t xml:space="preserve"> </w:t>
      </w:r>
      <w:r>
        <w:rPr>
          <w:b/>
          <w:color w:val="4F81BD" w:themeColor="accent1"/>
          <w:sz w:val="24"/>
          <w:szCs w:val="24"/>
        </w:rPr>
        <w:t>Indicators of Proficiency for</w:t>
      </w:r>
      <w:r w:rsidRPr="0032689F">
        <w:rPr>
          <w:b/>
          <w:color w:val="4F81BD" w:themeColor="accent1"/>
          <w:sz w:val="24"/>
          <w:szCs w:val="24"/>
        </w:rPr>
        <w:t xml:space="preserve"> K-12</w:t>
      </w:r>
    </w:p>
    <w:p w:rsidR="004768DE" w:rsidRPr="00484FCC" w:rsidRDefault="004768DE" w:rsidP="00484FCC">
      <w:pPr>
        <w:rPr>
          <w:b/>
        </w:rPr>
      </w:pPr>
    </w:p>
    <w:tbl>
      <w:tblPr>
        <w:tblStyle w:val="TableGrid"/>
        <w:tblW w:w="0" w:type="auto"/>
        <w:tblLook w:val="04A0" w:firstRow="1" w:lastRow="0" w:firstColumn="1" w:lastColumn="0" w:noHBand="0" w:noVBand="1"/>
      </w:tblPr>
      <w:tblGrid>
        <w:gridCol w:w="1908"/>
        <w:gridCol w:w="3132"/>
        <w:gridCol w:w="2712"/>
        <w:gridCol w:w="2712"/>
        <w:gridCol w:w="2712"/>
      </w:tblGrid>
      <w:tr w:rsidR="00487E0E" w:rsidTr="00AF42F6">
        <w:tc>
          <w:tcPr>
            <w:tcW w:w="1908" w:type="dxa"/>
          </w:tcPr>
          <w:p w:rsidR="00487E0E" w:rsidRDefault="00487E0E"/>
        </w:tc>
        <w:tc>
          <w:tcPr>
            <w:tcW w:w="11268" w:type="dxa"/>
            <w:gridSpan w:val="4"/>
          </w:tcPr>
          <w:p w:rsidR="00484FCC" w:rsidRDefault="00484FCC" w:rsidP="00484FCC">
            <w:pPr>
              <w:jc w:val="center"/>
              <w:rPr>
                <w:b/>
                <w:color w:val="008000"/>
                <w:sz w:val="32"/>
                <w:szCs w:val="32"/>
              </w:rPr>
            </w:pPr>
            <w:r w:rsidRPr="00A87D3A">
              <w:rPr>
                <w:b/>
                <w:color w:val="008000"/>
                <w:sz w:val="32"/>
                <w:szCs w:val="32"/>
              </w:rPr>
              <w:t xml:space="preserve">Graduation </w:t>
            </w:r>
            <w:r>
              <w:rPr>
                <w:b/>
                <w:color w:val="008000"/>
                <w:sz w:val="32"/>
                <w:szCs w:val="32"/>
              </w:rPr>
              <w:t>Proficiencies: Health Education</w:t>
            </w:r>
          </w:p>
          <w:p w:rsidR="00484FCC" w:rsidRDefault="00484FCC" w:rsidP="00484FCC">
            <w:pPr>
              <w:jc w:val="center"/>
              <w:rPr>
                <w:b/>
                <w:color w:val="008000"/>
                <w:sz w:val="32"/>
                <w:szCs w:val="32"/>
              </w:rPr>
            </w:pPr>
            <w:r>
              <w:rPr>
                <w:b/>
                <w:noProof/>
                <w:sz w:val="24"/>
                <w:szCs w:val="24"/>
              </w:rPr>
              <mc:AlternateContent>
                <mc:Choice Requires="wps">
                  <w:drawing>
                    <wp:anchor distT="0" distB="0" distL="114300" distR="114300" simplePos="0" relativeHeight="251659264" behindDoc="0" locked="0" layoutInCell="1" allowOverlap="1" wp14:anchorId="418D94AF" wp14:editId="6F8DCB92">
                      <wp:simplePos x="0" y="0"/>
                      <wp:positionH relativeFrom="column">
                        <wp:posOffset>2141220</wp:posOffset>
                      </wp:positionH>
                      <wp:positionV relativeFrom="paragraph">
                        <wp:posOffset>71755</wp:posOffset>
                      </wp:positionV>
                      <wp:extent cx="2667000" cy="292100"/>
                      <wp:effectExtent l="0" t="19050" r="38100" b="31750"/>
                      <wp:wrapNone/>
                      <wp:docPr id="2" name="Right Arrow 2"/>
                      <wp:cNvGraphicFramePr/>
                      <a:graphic xmlns:a="http://schemas.openxmlformats.org/drawingml/2006/main">
                        <a:graphicData uri="http://schemas.microsoft.com/office/word/2010/wordprocessingShape">
                          <wps:wsp>
                            <wps:cNvSpPr/>
                            <wps:spPr>
                              <a:xfrm>
                                <a:off x="0" y="0"/>
                                <a:ext cx="2667000" cy="292100"/>
                              </a:xfrm>
                              <a:prstGeom prst="rightArrow">
                                <a:avLst/>
                              </a:prstGeom>
                              <a:solidFill>
                                <a:srgbClr val="0099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68.6pt;margin-top:5.65pt;width:210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" adj="20417" fillcolor="#090" strokecolor="#385d8a" strokeweight="2pt"/>
                  </w:pict>
                </mc:Fallback>
              </mc:AlternateContent>
            </w:r>
          </w:p>
          <w:p w:rsidR="00484FCC" w:rsidRPr="00AF42F6" w:rsidRDefault="00484FCC" w:rsidP="00421D8E">
            <w:pPr>
              <w:jc w:val="center"/>
              <w:rPr>
                <w:b/>
              </w:rPr>
            </w:pPr>
          </w:p>
        </w:tc>
      </w:tr>
      <w:tr w:rsidR="00487E0E" w:rsidTr="00484FCC">
        <w:trPr>
          <w:trHeight w:val="2105"/>
        </w:trPr>
        <w:tc>
          <w:tcPr>
            <w:tcW w:w="1908" w:type="dxa"/>
          </w:tcPr>
          <w:p w:rsidR="00484FCC" w:rsidRDefault="00484FCC" w:rsidP="00484FCC">
            <w:pPr>
              <w:jc w:val="center"/>
              <w:rPr>
                <w:b/>
                <w:color w:val="4F81BD" w:themeColor="accent1"/>
                <w:sz w:val="32"/>
                <w:szCs w:val="32"/>
              </w:rPr>
            </w:pPr>
            <w:r w:rsidRPr="00A87D3A">
              <w:rPr>
                <w:b/>
                <w:color w:val="4F81BD" w:themeColor="accent1"/>
                <w:sz w:val="32"/>
                <w:szCs w:val="32"/>
              </w:rPr>
              <w:t>Transferable Skills</w:t>
            </w:r>
          </w:p>
          <w:p w:rsidR="00D21405" w:rsidRPr="00AF42F6" w:rsidRDefault="00484FCC" w:rsidP="00484FCC">
            <w:pPr>
              <w:jc w:val="center"/>
              <w:rPr>
                <w:b/>
                <w:color w:val="4F81BD" w:themeColor="accent1"/>
              </w:rPr>
            </w:pPr>
            <w:r>
              <w:rPr>
                <w:b/>
                <w:noProof/>
                <w:color w:val="4F81BD" w:themeColor="accent1"/>
              </w:rPr>
              <mc:AlternateContent>
                <mc:Choice Requires="wps">
                  <w:drawing>
                    <wp:anchor distT="0" distB="0" distL="114300" distR="114300" simplePos="0" relativeHeight="251661312" behindDoc="0" locked="0" layoutInCell="1" allowOverlap="1" wp14:anchorId="58CC17E9" wp14:editId="28BE3391">
                      <wp:simplePos x="0" y="0"/>
                      <wp:positionH relativeFrom="column">
                        <wp:posOffset>471170</wp:posOffset>
                      </wp:positionH>
                      <wp:positionV relativeFrom="paragraph">
                        <wp:posOffset>-4445</wp:posOffset>
                      </wp:positionV>
                      <wp:extent cx="271780" cy="658495"/>
                      <wp:effectExtent l="19050" t="0" r="13970" b="46355"/>
                      <wp:wrapNone/>
                      <wp:docPr id="1" name="Down Arrow 1"/>
                      <wp:cNvGraphicFramePr/>
                      <a:graphic xmlns:a="http://schemas.openxmlformats.org/drawingml/2006/main">
                        <a:graphicData uri="http://schemas.microsoft.com/office/word/2010/wordprocessingShape">
                          <wps:wsp>
                            <wps:cNvSpPr/>
                            <wps:spPr>
                              <a:xfrm>
                                <a:off x="0" y="0"/>
                                <a:ext cx="271780" cy="6584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7.1pt;margin-top:-.35pt;width:21.4pt;height:5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" adj="17143" fillcolor="#4f81bd" strokecolor="#385d8a" strokeweight="2pt"/>
                  </w:pict>
                </mc:Fallback>
              </mc:AlternateContent>
            </w:r>
          </w:p>
        </w:tc>
        <w:tc>
          <w:tcPr>
            <w:tcW w:w="3132" w:type="dxa"/>
          </w:tcPr>
          <w:p w:rsidR="004768DE" w:rsidRPr="00484FCC" w:rsidRDefault="001936FA" w:rsidP="001936FA">
            <w:pPr>
              <w:rPr>
                <w:sz w:val="20"/>
                <w:szCs w:val="20"/>
              </w:rPr>
            </w:pPr>
            <w:r w:rsidRPr="00484FCC">
              <w:rPr>
                <w:sz w:val="20"/>
                <w:szCs w:val="20"/>
              </w:rPr>
              <w:t>1.</w:t>
            </w:r>
            <w:r w:rsidR="004768DE" w:rsidRPr="00484FCC">
              <w:rPr>
                <w:sz w:val="20"/>
                <w:szCs w:val="20"/>
              </w:rPr>
              <w:t xml:space="preserve">Comprehend concepts related to health promotion and disease prevention and practice behaviors that enhance health and reduce risk. </w:t>
            </w:r>
          </w:p>
          <w:p w:rsidR="00487E0E" w:rsidRPr="00484FCC" w:rsidRDefault="00487E0E" w:rsidP="004768DE"/>
        </w:tc>
        <w:tc>
          <w:tcPr>
            <w:tcW w:w="2712" w:type="dxa"/>
          </w:tcPr>
          <w:p w:rsidR="00487E0E" w:rsidRPr="00484FCC" w:rsidRDefault="001936FA" w:rsidP="001936FA">
            <w:r w:rsidRPr="00484FCC">
              <w:t>3. Demonstrate the ability to access valid information, products and services to enhance health.</w:t>
            </w:r>
          </w:p>
        </w:tc>
        <w:tc>
          <w:tcPr>
            <w:tcW w:w="2712" w:type="dxa"/>
          </w:tcPr>
          <w:p w:rsidR="00487E0E" w:rsidRPr="00484FCC" w:rsidRDefault="001936FA" w:rsidP="001936FA">
            <w:r w:rsidRPr="00484FCC">
              <w:rPr>
                <w:sz w:val="20"/>
                <w:szCs w:val="20"/>
              </w:rPr>
              <w:t>4. Use interpersonal communication skills to enhance health and reduce health risks</w:t>
            </w:r>
            <w:r w:rsidRPr="00484FCC">
              <w:t>.</w:t>
            </w:r>
          </w:p>
        </w:tc>
        <w:tc>
          <w:tcPr>
            <w:tcW w:w="2712" w:type="dxa"/>
          </w:tcPr>
          <w:p w:rsidR="001936FA" w:rsidRPr="00484FCC" w:rsidRDefault="001936FA" w:rsidP="001936FA">
            <w:pPr>
              <w:rPr>
                <w:sz w:val="20"/>
                <w:szCs w:val="20"/>
              </w:rPr>
            </w:pPr>
            <w:r w:rsidRPr="00484FCC">
              <w:rPr>
                <w:sz w:val="20"/>
                <w:szCs w:val="20"/>
              </w:rPr>
              <w:t>5. Use decision making and goal setting skills to enhance health.</w:t>
            </w:r>
          </w:p>
          <w:p w:rsidR="00487E0E" w:rsidRPr="00484FCC" w:rsidRDefault="00487E0E"/>
        </w:tc>
      </w:tr>
      <w:tr w:rsidR="00216EFE" w:rsidTr="00AF42F6">
        <w:tc>
          <w:tcPr>
            <w:tcW w:w="1908" w:type="dxa"/>
          </w:tcPr>
          <w:p w:rsidR="00216EFE" w:rsidRPr="004B6C79" w:rsidRDefault="00BB3269" w:rsidP="00FA2573">
            <w:r w:rsidRPr="004B6C79">
              <w:t>1</w:t>
            </w:r>
            <w:r w:rsidR="00FA2573" w:rsidRPr="004B6C79">
              <w:t>.</w:t>
            </w:r>
            <w:r w:rsidR="00942AC4" w:rsidRPr="004B6C79">
              <w:t xml:space="preserve"> </w:t>
            </w:r>
            <w:r w:rsidR="00216EFE" w:rsidRPr="004B6C79">
              <w:t>Clear and Effective Communicator.</w:t>
            </w:r>
          </w:p>
        </w:tc>
        <w:tc>
          <w:tcPr>
            <w:tcW w:w="3132" w:type="dxa"/>
          </w:tcPr>
          <w:p w:rsidR="00216EFE" w:rsidRDefault="00216EFE" w:rsidP="004768DE">
            <w:pPr>
              <w:rPr>
                <w:b/>
                <w:color w:val="00B050"/>
                <w:sz w:val="20"/>
                <w:szCs w:val="20"/>
              </w:rPr>
            </w:pPr>
          </w:p>
        </w:tc>
        <w:tc>
          <w:tcPr>
            <w:tcW w:w="2712" w:type="dxa"/>
          </w:tcPr>
          <w:p w:rsidR="00216EFE" w:rsidRPr="00AF42F6" w:rsidRDefault="00216EFE">
            <w:pPr>
              <w:rPr>
                <w:color w:val="008000"/>
              </w:rPr>
            </w:pPr>
          </w:p>
        </w:tc>
        <w:tc>
          <w:tcPr>
            <w:tcW w:w="2712" w:type="dxa"/>
          </w:tcPr>
          <w:p w:rsidR="00216EFE" w:rsidRDefault="00216EFE" w:rsidP="00216EFE">
            <w:pPr>
              <w:rPr>
                <w:color w:val="548DD4" w:themeColor="text2" w:themeTint="99"/>
                <w:sz w:val="20"/>
                <w:szCs w:val="20"/>
              </w:rPr>
            </w:pPr>
          </w:p>
          <w:p w:rsidR="00216EFE" w:rsidRPr="004768DE" w:rsidRDefault="00216EFE" w:rsidP="001936FA">
            <w:pPr>
              <w:rPr>
                <w:b/>
                <w:color w:val="00B050"/>
                <w:sz w:val="20"/>
                <w:szCs w:val="20"/>
              </w:rPr>
            </w:pPr>
          </w:p>
        </w:tc>
        <w:tc>
          <w:tcPr>
            <w:tcW w:w="2712" w:type="dxa"/>
          </w:tcPr>
          <w:p w:rsidR="001936FA" w:rsidRPr="004B6C79" w:rsidRDefault="001936FA" w:rsidP="001936FA">
            <w:pPr>
              <w:rPr>
                <w:color w:val="00602B"/>
                <w:sz w:val="20"/>
                <w:szCs w:val="20"/>
              </w:rPr>
            </w:pPr>
            <w:r w:rsidRPr="004B6C79">
              <w:rPr>
                <w:color w:val="00602B"/>
                <w:sz w:val="20"/>
                <w:szCs w:val="20"/>
              </w:rPr>
              <w:t>5d. Defend the healthy choice when making decisions</w:t>
            </w:r>
          </w:p>
          <w:p w:rsidR="00FA2573" w:rsidRPr="00216EFE" w:rsidRDefault="00FA2573" w:rsidP="001936FA">
            <w:pPr>
              <w:rPr>
                <w:color w:val="00B050"/>
                <w:sz w:val="20"/>
                <w:szCs w:val="20"/>
              </w:rPr>
            </w:pPr>
          </w:p>
          <w:p w:rsidR="001936FA" w:rsidRPr="004B6C79" w:rsidRDefault="001936FA" w:rsidP="001936FA">
            <w:pPr>
              <w:rPr>
                <w:color w:val="0070C0"/>
                <w:sz w:val="20"/>
                <w:szCs w:val="20"/>
              </w:rPr>
            </w:pPr>
            <w:r w:rsidRPr="004B6C79">
              <w:rPr>
                <w:color w:val="0070C0"/>
                <w:sz w:val="20"/>
                <w:szCs w:val="20"/>
              </w:rPr>
              <w:t>TS</w:t>
            </w:r>
            <w:r w:rsidR="00BB3269" w:rsidRPr="004B6C79">
              <w:rPr>
                <w:color w:val="0070C0"/>
                <w:sz w:val="20"/>
                <w:szCs w:val="20"/>
              </w:rPr>
              <w:t>1a</w:t>
            </w:r>
            <w:r w:rsidR="00FA2573" w:rsidRPr="004B6C79">
              <w:rPr>
                <w:color w:val="0070C0"/>
                <w:sz w:val="20"/>
                <w:szCs w:val="20"/>
              </w:rPr>
              <w:t xml:space="preserve">. </w:t>
            </w:r>
            <w:r w:rsidRPr="004B6C79">
              <w:rPr>
                <w:color w:val="0070C0"/>
                <w:sz w:val="20"/>
                <w:szCs w:val="20"/>
              </w:rPr>
              <w:t xml:space="preserve">Demonstrates organized </w:t>
            </w:r>
            <w:r w:rsidRPr="004B6C79">
              <w:rPr>
                <w:color w:val="0070C0"/>
                <w:sz w:val="20"/>
                <w:szCs w:val="20"/>
              </w:rPr>
              <w:lastRenderedPageBreak/>
              <w:t>and purposeful communication</w:t>
            </w:r>
          </w:p>
          <w:p w:rsidR="00216EFE" w:rsidRDefault="00216EFE">
            <w:pPr>
              <w:rPr>
                <w:color w:val="008000"/>
              </w:rPr>
            </w:pPr>
          </w:p>
          <w:p w:rsidR="004B6C79" w:rsidRPr="00AF42F6" w:rsidRDefault="004B6C79">
            <w:pPr>
              <w:rPr>
                <w:color w:val="008000"/>
              </w:rPr>
            </w:pPr>
          </w:p>
        </w:tc>
      </w:tr>
      <w:tr w:rsidR="00DC4B2A" w:rsidTr="00AF42F6">
        <w:tc>
          <w:tcPr>
            <w:tcW w:w="1908" w:type="dxa"/>
          </w:tcPr>
          <w:p w:rsidR="00DC4B2A" w:rsidRPr="004B6C79" w:rsidRDefault="00BB3269" w:rsidP="00B02288">
            <w:r w:rsidRPr="004B6C79">
              <w:lastRenderedPageBreak/>
              <w:t>2</w:t>
            </w:r>
            <w:r w:rsidR="00FA2573" w:rsidRPr="004B6C79">
              <w:t xml:space="preserve">.  </w:t>
            </w:r>
            <w:r w:rsidR="00DC4B2A" w:rsidRPr="004B6C79">
              <w:t>A Self-Directed Learner who:</w:t>
            </w:r>
          </w:p>
        </w:tc>
        <w:tc>
          <w:tcPr>
            <w:tcW w:w="3132" w:type="dxa"/>
          </w:tcPr>
          <w:p w:rsidR="004768DE" w:rsidRDefault="004768DE" w:rsidP="00B02288">
            <w:pPr>
              <w:rPr>
                <w:color w:val="008000"/>
              </w:rPr>
            </w:pPr>
          </w:p>
          <w:p w:rsidR="004768DE" w:rsidRDefault="004768DE" w:rsidP="00B02288">
            <w:pPr>
              <w:rPr>
                <w:color w:val="008000"/>
              </w:rPr>
            </w:pPr>
          </w:p>
          <w:p w:rsidR="004768DE" w:rsidRDefault="004768DE" w:rsidP="00B02288">
            <w:pPr>
              <w:rPr>
                <w:color w:val="008000"/>
              </w:rPr>
            </w:pPr>
          </w:p>
          <w:p w:rsidR="00D21405" w:rsidRDefault="00D21405" w:rsidP="00B02288"/>
        </w:tc>
        <w:tc>
          <w:tcPr>
            <w:tcW w:w="2712" w:type="dxa"/>
          </w:tcPr>
          <w:p w:rsidR="00DC4B2A" w:rsidRDefault="00DC4B2A"/>
        </w:tc>
        <w:tc>
          <w:tcPr>
            <w:tcW w:w="2712" w:type="dxa"/>
          </w:tcPr>
          <w:p w:rsidR="001936FA" w:rsidRDefault="001936FA" w:rsidP="00216EFE">
            <w:pPr>
              <w:rPr>
                <w:color w:val="00B050"/>
              </w:rPr>
            </w:pPr>
          </w:p>
          <w:p w:rsidR="004B6C79" w:rsidRDefault="004B6C79" w:rsidP="00216EFE">
            <w:pPr>
              <w:rPr>
                <w:color w:val="00B050"/>
              </w:rPr>
            </w:pPr>
          </w:p>
          <w:p w:rsidR="001936FA" w:rsidRDefault="001936FA" w:rsidP="00216EFE"/>
        </w:tc>
        <w:tc>
          <w:tcPr>
            <w:tcW w:w="2712" w:type="dxa"/>
          </w:tcPr>
          <w:p w:rsidR="001936FA" w:rsidRPr="004B6C79" w:rsidRDefault="001936FA" w:rsidP="001936FA">
            <w:pPr>
              <w:rPr>
                <w:color w:val="00602B"/>
                <w:sz w:val="20"/>
                <w:szCs w:val="20"/>
              </w:rPr>
            </w:pPr>
            <w:r w:rsidRPr="004B6C79">
              <w:rPr>
                <w:color w:val="00602B"/>
                <w:sz w:val="20"/>
                <w:szCs w:val="20"/>
              </w:rPr>
              <w:t>5f. Develop a plan to attain a personal health goal that addresses strengths, needs and risks</w:t>
            </w:r>
          </w:p>
          <w:p w:rsidR="001936FA" w:rsidRPr="004B6C79" w:rsidRDefault="001936FA" w:rsidP="001936FA">
            <w:pPr>
              <w:rPr>
                <w:color w:val="00B050"/>
                <w:sz w:val="20"/>
                <w:szCs w:val="20"/>
              </w:rPr>
            </w:pPr>
          </w:p>
          <w:p w:rsidR="00DC4B2A" w:rsidRDefault="00BB3269">
            <w:r w:rsidRPr="004B6C79">
              <w:rPr>
                <w:color w:val="0070C0"/>
                <w:sz w:val="20"/>
                <w:szCs w:val="20"/>
              </w:rPr>
              <w:t>TS2b</w:t>
            </w:r>
            <w:r w:rsidR="001936FA" w:rsidRPr="004B6C79">
              <w:rPr>
                <w:color w:val="0070C0"/>
                <w:sz w:val="20"/>
                <w:szCs w:val="20"/>
              </w:rPr>
              <w:t>. Integrates knowledge from a variety of sources to set goals and make informed decision</w:t>
            </w:r>
            <w:r w:rsidR="00E575E3" w:rsidRPr="004B6C79">
              <w:rPr>
                <w:color w:val="0070C0"/>
                <w:sz w:val="20"/>
                <w:szCs w:val="20"/>
              </w:rPr>
              <w:t>s</w:t>
            </w:r>
            <w:r w:rsidR="001936FA" w:rsidRPr="004B6C79">
              <w:rPr>
                <w:color w:val="0070C0"/>
              </w:rPr>
              <w:t>.</w:t>
            </w:r>
          </w:p>
        </w:tc>
      </w:tr>
      <w:tr w:rsidR="00DC4B2A" w:rsidTr="00AF42F6">
        <w:tc>
          <w:tcPr>
            <w:tcW w:w="1908" w:type="dxa"/>
          </w:tcPr>
          <w:p w:rsidR="00DC4B2A" w:rsidRPr="004B6C79" w:rsidRDefault="00BB3269" w:rsidP="00B02288">
            <w:r w:rsidRPr="004B6C79">
              <w:t>3</w:t>
            </w:r>
            <w:r w:rsidR="00FA2573" w:rsidRPr="004B6C79">
              <w:t xml:space="preserve">.  </w:t>
            </w:r>
            <w:r w:rsidR="00DC4B2A" w:rsidRPr="004B6C79">
              <w:t>A Creative and Practical Problem Solver who:</w:t>
            </w:r>
          </w:p>
        </w:tc>
        <w:tc>
          <w:tcPr>
            <w:tcW w:w="3132" w:type="dxa"/>
          </w:tcPr>
          <w:p w:rsidR="004768DE" w:rsidRPr="004B6C79" w:rsidRDefault="004768DE" w:rsidP="004768DE">
            <w:pPr>
              <w:rPr>
                <w:color w:val="00602B"/>
                <w:sz w:val="20"/>
                <w:szCs w:val="20"/>
              </w:rPr>
            </w:pPr>
            <w:r w:rsidRPr="004B6C79">
              <w:rPr>
                <w:color w:val="00602B"/>
                <w:sz w:val="20"/>
                <w:szCs w:val="20"/>
              </w:rPr>
              <w:t>1c.Propose ways to reduce or prevent injuries and health problems</w:t>
            </w:r>
          </w:p>
          <w:p w:rsidR="0035285F" w:rsidRDefault="0035285F" w:rsidP="004768DE">
            <w:pPr>
              <w:rPr>
                <w:color w:val="00B050"/>
                <w:sz w:val="20"/>
                <w:szCs w:val="20"/>
              </w:rPr>
            </w:pPr>
          </w:p>
          <w:p w:rsidR="0035285F" w:rsidRPr="004B6C79" w:rsidRDefault="0035285F" w:rsidP="004768DE">
            <w:pPr>
              <w:rPr>
                <w:color w:val="0070C0"/>
                <w:sz w:val="20"/>
                <w:szCs w:val="20"/>
              </w:rPr>
            </w:pPr>
            <w:r w:rsidRPr="004B6C79">
              <w:rPr>
                <w:color w:val="0070C0"/>
                <w:sz w:val="20"/>
                <w:szCs w:val="20"/>
              </w:rPr>
              <w:t>TS</w:t>
            </w:r>
            <w:r w:rsidR="00BB3269" w:rsidRPr="004B6C79">
              <w:rPr>
                <w:color w:val="0070C0"/>
                <w:sz w:val="20"/>
                <w:szCs w:val="20"/>
              </w:rPr>
              <w:t>3e</w:t>
            </w:r>
            <w:r w:rsidRPr="004B6C79">
              <w:rPr>
                <w:color w:val="0070C0"/>
                <w:sz w:val="20"/>
                <w:szCs w:val="20"/>
              </w:rPr>
              <w:t>. Generates a variety of solutions, uses evidence to build a case for best responses, critically evaluates the effectiveness of responses and repeats the process to generate solutions.</w:t>
            </w:r>
          </w:p>
          <w:p w:rsidR="00DC4B2A" w:rsidRDefault="00DC4B2A"/>
        </w:tc>
        <w:tc>
          <w:tcPr>
            <w:tcW w:w="2712" w:type="dxa"/>
          </w:tcPr>
          <w:p w:rsidR="009F7E2C" w:rsidRPr="009F7E2C" w:rsidRDefault="009F7E2C">
            <w:pPr>
              <w:rPr>
                <w:color w:val="4F81BD" w:themeColor="accent1"/>
              </w:rPr>
            </w:pPr>
          </w:p>
        </w:tc>
        <w:tc>
          <w:tcPr>
            <w:tcW w:w="2712" w:type="dxa"/>
          </w:tcPr>
          <w:p w:rsidR="00DC4B2A" w:rsidRDefault="00DC4B2A"/>
        </w:tc>
        <w:tc>
          <w:tcPr>
            <w:tcW w:w="2712" w:type="dxa"/>
          </w:tcPr>
          <w:p w:rsidR="00DC4B2A" w:rsidRDefault="00DC4B2A"/>
        </w:tc>
      </w:tr>
      <w:tr w:rsidR="00DC4B2A" w:rsidTr="00AF42F6">
        <w:tc>
          <w:tcPr>
            <w:tcW w:w="1908" w:type="dxa"/>
          </w:tcPr>
          <w:p w:rsidR="00FA2573" w:rsidRPr="004B6C79" w:rsidRDefault="00BB3269" w:rsidP="00B02288">
            <w:r w:rsidRPr="004B6C79">
              <w:t>4</w:t>
            </w:r>
            <w:r w:rsidR="00DC4B2A" w:rsidRPr="004B6C79">
              <w:t>. An Integrative and Informed Thinker who:</w:t>
            </w:r>
          </w:p>
        </w:tc>
        <w:tc>
          <w:tcPr>
            <w:tcW w:w="3132" w:type="dxa"/>
          </w:tcPr>
          <w:p w:rsidR="00DC4B2A" w:rsidRDefault="00DC4B2A"/>
        </w:tc>
        <w:tc>
          <w:tcPr>
            <w:tcW w:w="2712" w:type="dxa"/>
          </w:tcPr>
          <w:p w:rsidR="00DC4B2A" w:rsidRDefault="00DC4B2A"/>
        </w:tc>
        <w:tc>
          <w:tcPr>
            <w:tcW w:w="2712" w:type="dxa"/>
          </w:tcPr>
          <w:p w:rsidR="00DC4B2A" w:rsidRPr="009F7E2C" w:rsidRDefault="00DC4B2A" w:rsidP="00487E0E">
            <w:pPr>
              <w:rPr>
                <w:color w:val="4F81BD" w:themeColor="accent1"/>
              </w:rPr>
            </w:pPr>
          </w:p>
        </w:tc>
        <w:tc>
          <w:tcPr>
            <w:tcW w:w="2712" w:type="dxa"/>
          </w:tcPr>
          <w:p w:rsidR="00DC4B2A" w:rsidRDefault="00DC4B2A"/>
        </w:tc>
      </w:tr>
      <w:tr w:rsidR="00DC4B2A" w:rsidTr="00AF42F6">
        <w:tc>
          <w:tcPr>
            <w:tcW w:w="1908" w:type="dxa"/>
          </w:tcPr>
          <w:p w:rsidR="00DC4B2A" w:rsidRPr="004B6C79" w:rsidRDefault="00BB3269" w:rsidP="00B02288">
            <w:r w:rsidRPr="004B6C79">
              <w:t>5</w:t>
            </w:r>
            <w:r w:rsidR="00DC4B2A" w:rsidRPr="004B6C79">
              <w:t>. A Responsible and Involved Citizen who:</w:t>
            </w:r>
          </w:p>
        </w:tc>
        <w:tc>
          <w:tcPr>
            <w:tcW w:w="3132" w:type="dxa"/>
          </w:tcPr>
          <w:p w:rsidR="004768DE" w:rsidRPr="004B6C79" w:rsidRDefault="004768DE" w:rsidP="004768DE">
            <w:pPr>
              <w:rPr>
                <w:color w:val="00602B"/>
                <w:sz w:val="20"/>
                <w:szCs w:val="20"/>
              </w:rPr>
            </w:pPr>
            <w:r w:rsidRPr="004B6C79">
              <w:rPr>
                <w:color w:val="00602B"/>
                <w:sz w:val="20"/>
                <w:szCs w:val="20"/>
              </w:rPr>
              <w:t>1b.Analyze how environment and personal health are interrelated</w:t>
            </w:r>
          </w:p>
          <w:p w:rsidR="00FA2573" w:rsidRDefault="00FA2573" w:rsidP="004768DE">
            <w:pPr>
              <w:rPr>
                <w:color w:val="00B050"/>
                <w:sz w:val="20"/>
                <w:szCs w:val="20"/>
              </w:rPr>
            </w:pPr>
          </w:p>
          <w:p w:rsidR="00FA2573" w:rsidRPr="004B6C79" w:rsidRDefault="00BB3269" w:rsidP="004768DE">
            <w:pPr>
              <w:rPr>
                <w:color w:val="0070C0"/>
                <w:sz w:val="20"/>
                <w:szCs w:val="20"/>
              </w:rPr>
            </w:pPr>
            <w:r w:rsidRPr="004B6C79">
              <w:rPr>
                <w:color w:val="0070C0"/>
                <w:sz w:val="20"/>
                <w:szCs w:val="20"/>
              </w:rPr>
              <w:t>TS5a.</w:t>
            </w:r>
            <w:r w:rsidR="00FA2573" w:rsidRPr="004B6C79">
              <w:rPr>
                <w:color w:val="0070C0"/>
                <w:sz w:val="20"/>
                <w:szCs w:val="20"/>
              </w:rPr>
              <w:t xml:space="preserve"> Takes responsibility for personal</w:t>
            </w:r>
            <w:r w:rsidR="00942AC4" w:rsidRPr="004B6C79">
              <w:rPr>
                <w:color w:val="0070C0"/>
                <w:sz w:val="20"/>
                <w:szCs w:val="20"/>
              </w:rPr>
              <w:t xml:space="preserve"> decisions and actions</w:t>
            </w:r>
          </w:p>
          <w:p w:rsidR="00DC4B2A" w:rsidRDefault="00DC4B2A"/>
        </w:tc>
        <w:tc>
          <w:tcPr>
            <w:tcW w:w="2712" w:type="dxa"/>
          </w:tcPr>
          <w:p w:rsidR="00DC4B2A" w:rsidRDefault="00DC4B2A"/>
        </w:tc>
        <w:tc>
          <w:tcPr>
            <w:tcW w:w="2712" w:type="dxa"/>
          </w:tcPr>
          <w:p w:rsidR="00F11515" w:rsidRPr="004B6C79" w:rsidRDefault="00F11515" w:rsidP="00F11515">
            <w:pPr>
              <w:rPr>
                <w:color w:val="00602B"/>
                <w:sz w:val="20"/>
                <w:szCs w:val="20"/>
              </w:rPr>
            </w:pPr>
            <w:r w:rsidRPr="004B6C79">
              <w:rPr>
                <w:color w:val="00602B"/>
                <w:sz w:val="20"/>
                <w:szCs w:val="20"/>
              </w:rPr>
              <w:t>4h. Work cooperatively as an advocate for improving personal   family and community health.</w:t>
            </w:r>
          </w:p>
          <w:p w:rsidR="00B7311B" w:rsidRPr="00B7311B" w:rsidRDefault="00B7311B" w:rsidP="00F11515">
            <w:pPr>
              <w:rPr>
                <w:color w:val="00B050"/>
              </w:rPr>
            </w:pPr>
          </w:p>
          <w:p w:rsidR="00F11515" w:rsidRDefault="00BB3269" w:rsidP="00F11515">
            <w:pPr>
              <w:rPr>
                <w:color w:val="4F81BD" w:themeColor="accent1"/>
              </w:rPr>
            </w:pPr>
            <w:r w:rsidRPr="004B6C79">
              <w:rPr>
                <w:color w:val="4F81BD" w:themeColor="accent1"/>
                <w:sz w:val="20"/>
                <w:szCs w:val="20"/>
              </w:rPr>
              <w:t>TS5d</w:t>
            </w:r>
            <w:r w:rsidR="00FA2573" w:rsidRPr="004B6C79">
              <w:rPr>
                <w:color w:val="4F81BD" w:themeColor="accent1"/>
                <w:sz w:val="20"/>
                <w:szCs w:val="20"/>
              </w:rPr>
              <w:t>.</w:t>
            </w:r>
            <w:r w:rsidR="00F11515" w:rsidRPr="004B6C79">
              <w:rPr>
                <w:color w:val="4F81BD" w:themeColor="accent1"/>
                <w:sz w:val="20"/>
                <w:szCs w:val="20"/>
              </w:rPr>
              <w:t xml:space="preserve"> Demonstrates a commitment to personal and community health and wellness</w:t>
            </w:r>
            <w:r w:rsidR="00F11515">
              <w:rPr>
                <w:color w:val="4F81BD" w:themeColor="accent1"/>
              </w:rPr>
              <w:t>.</w:t>
            </w:r>
          </w:p>
          <w:p w:rsidR="00DC4B2A" w:rsidRDefault="00DC4B2A" w:rsidP="00487E0E"/>
        </w:tc>
        <w:tc>
          <w:tcPr>
            <w:tcW w:w="2712" w:type="dxa"/>
          </w:tcPr>
          <w:p w:rsidR="00AF63E9" w:rsidRDefault="00AF63E9">
            <w:pPr>
              <w:rPr>
                <w:color w:val="4F81BD" w:themeColor="accent1"/>
              </w:rPr>
            </w:pPr>
          </w:p>
          <w:p w:rsidR="00AF63E9" w:rsidRDefault="00AF63E9">
            <w:pPr>
              <w:rPr>
                <w:color w:val="4F81BD" w:themeColor="accent1"/>
              </w:rPr>
            </w:pPr>
          </w:p>
          <w:p w:rsidR="00AF63E9" w:rsidRPr="009F7E2C" w:rsidRDefault="00AF63E9">
            <w:pPr>
              <w:rPr>
                <w:color w:val="4F81BD" w:themeColor="accent1"/>
              </w:rPr>
            </w:pPr>
          </w:p>
        </w:tc>
      </w:tr>
    </w:tbl>
    <w:p w:rsidR="00421D8E" w:rsidRDefault="00421D8E" w:rsidP="00942AC4">
      <w:pPr>
        <w:tabs>
          <w:tab w:val="left" w:pos="4500"/>
        </w:tabs>
      </w:pPr>
    </w:p>
    <w:p w:rsidR="00944D13" w:rsidRDefault="00182070">
      <w:pPr>
        <w:rPr>
          <w:b/>
        </w:rPr>
      </w:pPr>
      <w:r>
        <w:rPr>
          <w:b/>
        </w:rPr>
        <w:t xml:space="preserve">Below are examples of prompts that may be used in the development </w:t>
      </w:r>
      <w:r w:rsidR="00074B50">
        <w:rPr>
          <w:b/>
        </w:rPr>
        <w:t xml:space="preserve">of </w:t>
      </w:r>
      <w:r>
        <w:rPr>
          <w:b/>
        </w:rPr>
        <w:t>performance tasks to assess the performance indicators and transferrable skills.</w:t>
      </w:r>
    </w:p>
    <w:p w:rsidR="001936FA" w:rsidRDefault="001936FA">
      <w:pPr>
        <w:rPr>
          <w:b/>
        </w:rPr>
      </w:pPr>
    </w:p>
    <w:p w:rsidR="001936FA" w:rsidRDefault="001936FA">
      <w:pPr>
        <w:rPr>
          <w:b/>
        </w:rPr>
      </w:pPr>
      <w:r>
        <w:rPr>
          <w:b/>
        </w:rPr>
        <w:t xml:space="preserve">1c) </w:t>
      </w:r>
      <w:r w:rsidR="00FA2573" w:rsidRPr="00563A82">
        <w:t>Develop a poster/pamphlet</w:t>
      </w:r>
      <w:r w:rsidR="00942AC4">
        <w:t>/media blitz/social media campaign</w:t>
      </w:r>
      <w:r w:rsidR="00FA2573" w:rsidRPr="00563A82">
        <w:t xml:space="preserve"> to be </w:t>
      </w:r>
      <w:r w:rsidR="00942AC4">
        <w:t xml:space="preserve">distributed throughout the school or displayed </w:t>
      </w:r>
      <w:r w:rsidR="00FA2573" w:rsidRPr="00563A82">
        <w:t>at the playground</w:t>
      </w:r>
      <w:r w:rsidR="00942AC4">
        <w:t xml:space="preserve">/community, </w:t>
      </w:r>
      <w:r w:rsidR="00FA2573" w:rsidRPr="00563A82">
        <w:t>that identifies ways to keep you safe – to reduce injury and health problems.</w:t>
      </w:r>
    </w:p>
    <w:p w:rsidR="00FA2573" w:rsidRDefault="007811C5">
      <w:pPr>
        <w:rPr>
          <w:b/>
        </w:rPr>
      </w:pPr>
      <w:r>
        <w:rPr>
          <w:b/>
        </w:rPr>
        <w:t xml:space="preserve">1b and 4h) </w:t>
      </w:r>
      <w:r w:rsidR="00FA2573">
        <w:rPr>
          <w:b/>
        </w:rPr>
        <w:t xml:space="preserve"> </w:t>
      </w:r>
      <w:r>
        <w:rPr>
          <w:b/>
        </w:rPr>
        <w:t xml:space="preserve"> </w:t>
      </w:r>
      <w:r w:rsidR="00A0594B">
        <w:rPr>
          <w:color w:val="444444"/>
        </w:rPr>
        <w:t>Sabine and Joe have been asked by their mayor to assess the</w:t>
      </w:r>
      <w:r w:rsidR="00F52CB2">
        <w:rPr>
          <w:color w:val="444444"/>
        </w:rPr>
        <w:t xml:space="preserve"> environmental health concerns/issues </w:t>
      </w:r>
      <w:r w:rsidR="00A0594B">
        <w:rPr>
          <w:color w:val="444444"/>
        </w:rPr>
        <w:t xml:space="preserve">in their community. They will </w:t>
      </w:r>
      <w:r w:rsidR="00F52CB2">
        <w:rPr>
          <w:color w:val="444444"/>
        </w:rPr>
        <w:t>conduct a community health assessment in their neighbor</w:t>
      </w:r>
      <w:r w:rsidR="00A0594B">
        <w:rPr>
          <w:color w:val="444444"/>
        </w:rPr>
        <w:t>hood and identify the potential environmental problems that exist. Identify at least THREE problems that may be noticed in the community and describe how these may affect the health of the community. Because these environment</w:t>
      </w:r>
      <w:r w:rsidR="00F52CB2">
        <w:rPr>
          <w:color w:val="444444"/>
        </w:rPr>
        <w:t>al health issues are important,</w:t>
      </w:r>
      <w:r w:rsidR="00A0594B">
        <w:rPr>
          <w:color w:val="444444"/>
        </w:rPr>
        <w:t xml:space="preserve"> Sabine and Joe want  to see a change. Choose ONE of the issues and write a persuasive letter to the mayor urging that the mayor act to solve the problem on behalf of the community's health.</w:t>
      </w:r>
    </w:p>
    <w:p w:rsidR="00FA2573" w:rsidRDefault="00FA2573">
      <w:pPr>
        <w:rPr>
          <w:b/>
        </w:rPr>
      </w:pPr>
      <w:r>
        <w:rPr>
          <w:b/>
        </w:rPr>
        <w:t xml:space="preserve">5d)   </w:t>
      </w:r>
      <w:r w:rsidRPr="00FA2573">
        <w:t>Write a story book</w:t>
      </w:r>
      <w:r>
        <w:t xml:space="preserve"> that focuses on how to use decision making</w:t>
      </w:r>
      <w:r w:rsidR="00563A82">
        <w:t xml:space="preserve"> skills to make healthy choices</w:t>
      </w:r>
      <w:r w:rsidR="00E055DF">
        <w:t xml:space="preserve"> which includes reasons</w:t>
      </w:r>
      <w:r w:rsidR="00563A82">
        <w:t xml:space="preserve">  to make healthy choices.</w:t>
      </w:r>
      <w:r w:rsidR="00814147">
        <w:t xml:space="preserve">  Your book may be a picture book, comic, chapter book or any other format.  Think about your audience. </w:t>
      </w:r>
    </w:p>
    <w:p w:rsidR="00FA2573" w:rsidRDefault="00FA2573">
      <w:pPr>
        <w:rPr>
          <w:b/>
        </w:rPr>
      </w:pPr>
    </w:p>
    <w:p w:rsidR="00FA2573" w:rsidRPr="00DB2934" w:rsidRDefault="00FA2573">
      <w:pPr>
        <w:rPr>
          <w:b/>
        </w:rPr>
      </w:pPr>
      <w:r>
        <w:rPr>
          <w:b/>
        </w:rPr>
        <w:t>5f)</w:t>
      </w:r>
      <w:r w:rsidR="00814147">
        <w:rPr>
          <w:b/>
        </w:rPr>
        <w:t xml:space="preserve"> </w:t>
      </w:r>
      <w:r w:rsidR="00A0594B">
        <w:rPr>
          <w:b/>
        </w:rPr>
        <w:t xml:space="preserve"> </w:t>
      </w:r>
      <w:r w:rsidR="00814147" w:rsidRPr="00814147">
        <w:t xml:space="preserve">After completing an analysis of your strengths, needs and risks, set a personal health goal </w:t>
      </w:r>
      <w:r w:rsidR="00814147">
        <w:t xml:space="preserve">that you will work on over the duration of the course </w:t>
      </w:r>
      <w:r w:rsidR="00814147" w:rsidRPr="00814147">
        <w:t>and develop a plan to address that goal.</w:t>
      </w:r>
    </w:p>
    <w:p w:rsidR="00DB2934" w:rsidRDefault="00DB2934" w:rsidP="00DB2934">
      <w:pPr>
        <w:ind w:left="720"/>
      </w:pPr>
      <w:r>
        <w:t xml:space="preserve"> </w:t>
      </w:r>
    </w:p>
    <w:sectPr w:rsidR="00DB2934" w:rsidSect="00944D13">
      <w:headerReference w:type="default" r:id="rId8"/>
      <w:footerReference w:type="default" r:id="rId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53" w:rsidRDefault="00AF5353" w:rsidP="009F7E2C">
      <w:pPr>
        <w:spacing w:after="0" w:line="240" w:lineRule="auto"/>
      </w:pPr>
      <w:r>
        <w:separator/>
      </w:r>
    </w:p>
  </w:endnote>
  <w:endnote w:type="continuationSeparator" w:id="0">
    <w:p w:rsidR="00AF5353" w:rsidRDefault="00AF5353" w:rsidP="009F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0241"/>
      <w:docPartObj>
        <w:docPartGallery w:val="Page Numbers (Bottom of Page)"/>
        <w:docPartUnique/>
      </w:docPartObj>
    </w:sdtPr>
    <w:sdtEndPr/>
    <w:sdtContent>
      <w:sdt>
        <w:sdtPr>
          <w:id w:val="860082579"/>
          <w:docPartObj>
            <w:docPartGallery w:val="Page Numbers (Top of Page)"/>
            <w:docPartUnique/>
          </w:docPartObj>
        </w:sdtPr>
        <w:sdtEndPr/>
        <w:sdtContent>
          <w:p w:rsidR="009F7E2C" w:rsidRDefault="009F7E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6B0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6B07">
              <w:rPr>
                <w:b/>
                <w:bCs/>
                <w:noProof/>
              </w:rPr>
              <w:t>3</w:t>
            </w:r>
            <w:r>
              <w:rPr>
                <w:b/>
                <w:bCs/>
                <w:sz w:val="24"/>
                <w:szCs w:val="24"/>
              </w:rPr>
              <w:fldChar w:fldCharType="end"/>
            </w:r>
          </w:p>
        </w:sdtContent>
      </w:sdt>
    </w:sdtContent>
  </w:sdt>
  <w:p w:rsidR="009F7E2C" w:rsidRDefault="009F7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53" w:rsidRDefault="00AF5353" w:rsidP="009F7E2C">
      <w:pPr>
        <w:spacing w:after="0" w:line="240" w:lineRule="auto"/>
      </w:pPr>
      <w:r>
        <w:separator/>
      </w:r>
    </w:p>
  </w:footnote>
  <w:footnote w:type="continuationSeparator" w:id="0">
    <w:p w:rsidR="00AF5353" w:rsidRDefault="00AF5353" w:rsidP="009F7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006427"/>
      <w:docPartObj>
        <w:docPartGallery w:val="Watermarks"/>
        <w:docPartUnique/>
      </w:docPartObj>
    </w:sdtPr>
    <w:sdtEndPr/>
    <w:sdtContent>
      <w:p w:rsidR="009F7E2C" w:rsidRDefault="001A6B0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534F"/>
    <w:multiLevelType w:val="hybridMultilevel"/>
    <w:tmpl w:val="D910E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D04B1"/>
    <w:multiLevelType w:val="hybridMultilevel"/>
    <w:tmpl w:val="33A6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86EEB"/>
    <w:multiLevelType w:val="hybridMultilevel"/>
    <w:tmpl w:val="3506B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D051E"/>
    <w:multiLevelType w:val="hybridMultilevel"/>
    <w:tmpl w:val="3314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F5AEE"/>
    <w:multiLevelType w:val="hybridMultilevel"/>
    <w:tmpl w:val="2D4E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C3102"/>
    <w:multiLevelType w:val="hybridMultilevel"/>
    <w:tmpl w:val="CD720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5317C"/>
    <w:multiLevelType w:val="hybridMultilevel"/>
    <w:tmpl w:val="1938C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D4DBB"/>
    <w:multiLevelType w:val="hybridMultilevel"/>
    <w:tmpl w:val="77EE6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52EA0"/>
    <w:multiLevelType w:val="hybridMultilevel"/>
    <w:tmpl w:val="0088D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D7602D"/>
    <w:multiLevelType w:val="hybridMultilevel"/>
    <w:tmpl w:val="7D1C1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FF1046"/>
    <w:multiLevelType w:val="hybridMultilevel"/>
    <w:tmpl w:val="64E0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82ED4"/>
    <w:multiLevelType w:val="hybridMultilevel"/>
    <w:tmpl w:val="38FEC1C6"/>
    <w:lvl w:ilvl="0" w:tplc="7BDAC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DF5F77"/>
    <w:multiLevelType w:val="hybridMultilevel"/>
    <w:tmpl w:val="0F5E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11"/>
  </w:num>
  <w:num w:numId="6">
    <w:abstractNumId w:val="6"/>
  </w:num>
  <w:num w:numId="7">
    <w:abstractNumId w:val="1"/>
  </w:num>
  <w:num w:numId="8">
    <w:abstractNumId w:val="4"/>
  </w:num>
  <w:num w:numId="9">
    <w:abstractNumId w:val="8"/>
  </w:num>
  <w:num w:numId="10">
    <w:abstractNumId w:val="5"/>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8E"/>
    <w:rsid w:val="00023D04"/>
    <w:rsid w:val="00074B50"/>
    <w:rsid w:val="00087E0B"/>
    <w:rsid w:val="000A7909"/>
    <w:rsid w:val="00182070"/>
    <w:rsid w:val="001936FA"/>
    <w:rsid w:val="001A6B07"/>
    <w:rsid w:val="002036F0"/>
    <w:rsid w:val="00216EFE"/>
    <w:rsid w:val="002623E0"/>
    <w:rsid w:val="002C53F5"/>
    <w:rsid w:val="00323E40"/>
    <w:rsid w:val="0035285F"/>
    <w:rsid w:val="00380216"/>
    <w:rsid w:val="003A5DFE"/>
    <w:rsid w:val="00402783"/>
    <w:rsid w:val="00421D8E"/>
    <w:rsid w:val="004279D1"/>
    <w:rsid w:val="004768DE"/>
    <w:rsid w:val="00484FCC"/>
    <w:rsid w:val="00487E0E"/>
    <w:rsid w:val="004902A3"/>
    <w:rsid w:val="004A74D0"/>
    <w:rsid w:val="004B6C79"/>
    <w:rsid w:val="004D4F75"/>
    <w:rsid w:val="004E42C8"/>
    <w:rsid w:val="00560950"/>
    <w:rsid w:val="00563A82"/>
    <w:rsid w:val="005C2879"/>
    <w:rsid w:val="005D3B91"/>
    <w:rsid w:val="006F0810"/>
    <w:rsid w:val="007811C5"/>
    <w:rsid w:val="007B2089"/>
    <w:rsid w:val="007D2308"/>
    <w:rsid w:val="00814147"/>
    <w:rsid w:val="00942AC4"/>
    <w:rsid w:val="00944D13"/>
    <w:rsid w:val="0097427C"/>
    <w:rsid w:val="009F1AFE"/>
    <w:rsid w:val="009F7E2C"/>
    <w:rsid w:val="00A0594B"/>
    <w:rsid w:val="00A139A1"/>
    <w:rsid w:val="00AF42F6"/>
    <w:rsid w:val="00AF5353"/>
    <w:rsid w:val="00AF63E9"/>
    <w:rsid w:val="00B7311B"/>
    <w:rsid w:val="00BB3269"/>
    <w:rsid w:val="00CD236D"/>
    <w:rsid w:val="00D21405"/>
    <w:rsid w:val="00D44F6A"/>
    <w:rsid w:val="00DB2934"/>
    <w:rsid w:val="00DC4B2A"/>
    <w:rsid w:val="00DE35ED"/>
    <w:rsid w:val="00E055DF"/>
    <w:rsid w:val="00E575E3"/>
    <w:rsid w:val="00F11515"/>
    <w:rsid w:val="00F52CB2"/>
    <w:rsid w:val="00FA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E0E"/>
    <w:pPr>
      <w:ind w:left="720"/>
      <w:contextualSpacing/>
    </w:pPr>
  </w:style>
  <w:style w:type="paragraph" w:styleId="BalloonText">
    <w:name w:val="Balloon Text"/>
    <w:basedOn w:val="Normal"/>
    <w:link w:val="BalloonTextChar"/>
    <w:uiPriority w:val="99"/>
    <w:semiHidden/>
    <w:unhideWhenUsed/>
    <w:rsid w:val="005D3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91"/>
    <w:rPr>
      <w:rFonts w:ascii="Tahoma" w:hAnsi="Tahoma" w:cs="Tahoma"/>
      <w:sz w:val="16"/>
      <w:szCs w:val="16"/>
    </w:rPr>
  </w:style>
  <w:style w:type="paragraph" w:styleId="Header">
    <w:name w:val="header"/>
    <w:basedOn w:val="Normal"/>
    <w:link w:val="HeaderChar"/>
    <w:uiPriority w:val="99"/>
    <w:unhideWhenUsed/>
    <w:rsid w:val="009F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2C"/>
  </w:style>
  <w:style w:type="paragraph" w:styleId="Footer">
    <w:name w:val="footer"/>
    <w:basedOn w:val="Normal"/>
    <w:link w:val="FooterChar"/>
    <w:uiPriority w:val="99"/>
    <w:unhideWhenUsed/>
    <w:rsid w:val="009F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E0E"/>
    <w:pPr>
      <w:ind w:left="720"/>
      <w:contextualSpacing/>
    </w:pPr>
  </w:style>
  <w:style w:type="paragraph" w:styleId="BalloonText">
    <w:name w:val="Balloon Text"/>
    <w:basedOn w:val="Normal"/>
    <w:link w:val="BalloonTextChar"/>
    <w:uiPriority w:val="99"/>
    <w:semiHidden/>
    <w:unhideWhenUsed/>
    <w:rsid w:val="005D3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91"/>
    <w:rPr>
      <w:rFonts w:ascii="Tahoma" w:hAnsi="Tahoma" w:cs="Tahoma"/>
      <w:sz w:val="16"/>
      <w:szCs w:val="16"/>
    </w:rPr>
  </w:style>
  <w:style w:type="paragraph" w:styleId="Header">
    <w:name w:val="header"/>
    <w:basedOn w:val="Normal"/>
    <w:link w:val="HeaderChar"/>
    <w:uiPriority w:val="99"/>
    <w:unhideWhenUsed/>
    <w:rsid w:val="009F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2C"/>
  </w:style>
  <w:style w:type="paragraph" w:styleId="Footer">
    <w:name w:val="footer"/>
    <w:basedOn w:val="Normal"/>
    <w:link w:val="FooterChar"/>
    <w:uiPriority w:val="99"/>
    <w:unhideWhenUsed/>
    <w:rsid w:val="009F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Vermont Department of Education</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Simpson</dc:creator>
  <cp:lastModifiedBy>Lucille Chicoine</cp:lastModifiedBy>
  <cp:revision>2</cp:revision>
  <cp:lastPrinted>2014-10-23T12:22:00Z</cp:lastPrinted>
  <dcterms:created xsi:type="dcterms:W3CDTF">2014-10-23T13:58:00Z</dcterms:created>
  <dcterms:modified xsi:type="dcterms:W3CDTF">2014-10-23T13:58:00Z</dcterms:modified>
</cp:coreProperties>
</file>