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5578" w:rsidRDefault="00143A61">
      <w:pPr>
        <w:pStyle w:val="normal0"/>
        <w:jc w:val="center"/>
      </w:pPr>
      <w:r>
        <w:rPr>
          <w:rFonts w:ascii="Helvetica Neue" w:eastAsia="Helvetica Neue" w:hAnsi="Helvetica Neue" w:cs="Helvetica Neue"/>
          <w:sz w:val="36"/>
          <w:szCs w:val="36"/>
        </w:rPr>
        <w:t>Performance Assessment Planning Template for Clear and Effective Communication</w:t>
      </w:r>
      <w:bookmarkStart w:id="0" w:name="_GoBack"/>
      <w:bookmarkEnd w:id="0"/>
    </w:p>
    <w:p w:rsidR="00745578" w:rsidRDefault="00745578">
      <w:pPr>
        <w:pStyle w:val="normal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5578">
        <w:tc>
          <w:tcPr>
            <w:tcW w:w="936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  <w:b/>
              </w:rPr>
              <w:t>1. Clear and Effective Communication</w:t>
            </w:r>
          </w:p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</w:rPr>
              <w:t>a. Demonstrate organized and purposeful communication.</w:t>
            </w:r>
          </w:p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</w:rPr>
              <w:t>b. Use evidence and logic appropriately in communication.</w:t>
            </w:r>
          </w:p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</w:rPr>
              <w:t>c. Integrate information gathered from active speaking and listening.</w:t>
            </w:r>
          </w:p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</w:rPr>
              <w:t>d. Adjust communication based on the audience, context, and purpose.</w:t>
            </w:r>
          </w:p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</w:rPr>
              <w:t>e. Demonstrate effective, expressive, and receptive communication, including oral, written, multi-media, and performa</w:t>
            </w:r>
            <w:r>
              <w:rPr>
                <w:rFonts w:ascii="Helvetica Neue" w:eastAsia="Helvetica Neue" w:hAnsi="Helvetica Neue" w:cs="Helvetica Neue"/>
              </w:rPr>
              <w:t>nce.</w:t>
            </w:r>
          </w:p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</w:rPr>
              <w:t>f. Use technology to further enhance and disseminate communication.</w:t>
            </w:r>
          </w:p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</w:rPr>
              <w:t>g. Collaborate effectively and respectfully.</w:t>
            </w:r>
          </w:p>
        </w:tc>
      </w:tr>
    </w:tbl>
    <w:p w:rsidR="00745578" w:rsidRDefault="00745578">
      <w:pPr>
        <w:pStyle w:val="normal0"/>
      </w:pP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5578">
        <w:trPr>
          <w:jc w:val="center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Task Model:</w:t>
            </w: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The Performance Assessment for </w:t>
            </w: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Clear and Effective Communication </w:t>
            </w: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must include these elements:</w:t>
            </w:r>
          </w:p>
          <w:p w:rsidR="00745578" w:rsidRDefault="00745578">
            <w:pPr>
              <w:pStyle w:val="normal0"/>
            </w:pPr>
          </w:p>
          <w:p w:rsidR="00745578" w:rsidRDefault="00143A61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  <w:t xml:space="preserve">The student will engage with </w:t>
            </w:r>
            <w:r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  <w:t>various types of text or other sources such as graphs, charts, pictures or video.</w:t>
            </w:r>
          </w:p>
          <w:p w:rsidR="00745578" w:rsidRDefault="00143A61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  <w:t>The student will participate in collaborative discussion.</w:t>
            </w:r>
          </w:p>
          <w:p w:rsidR="00745578" w:rsidRDefault="00143A61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  <w:t xml:space="preserve">The student will create a text or presentation that draws on information/ideas from that discussion, as well as from other sources, to provide evidence to support a claim.  </w:t>
            </w:r>
          </w:p>
          <w:p w:rsidR="00745578" w:rsidRDefault="00143A61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  <w:t>The student text or presentation must utilize technology in order to incorporate i</w:t>
            </w:r>
            <w:r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  <w:t>mages, graphs, charts, audio, video or other effects into the support for the claim.</w:t>
            </w:r>
          </w:p>
          <w:p w:rsidR="00745578" w:rsidRDefault="00143A61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  <w:t xml:space="preserve">The final student product must be assessed using </w:t>
            </w:r>
            <w:hyperlink r:id="rId6">
              <w:r>
                <w:rPr>
                  <w:rFonts w:ascii="Helvetica Neue" w:eastAsia="Helvetica Neue" w:hAnsi="Helvetica Neue" w:cs="Helvetica Neue"/>
                  <w:color w:val="1155CC"/>
                  <w:sz w:val="28"/>
                  <w:szCs w:val="28"/>
                  <w:u w:val="single"/>
                </w:rPr>
                <w:t>this T</w:t>
              </w:r>
              <w:r>
                <w:rPr>
                  <w:rFonts w:ascii="Helvetica Neue" w:eastAsia="Helvetica Neue" w:hAnsi="Helvetica Neue" w:cs="Helvetica Neue"/>
                  <w:color w:val="1155CC"/>
                  <w:sz w:val="28"/>
                  <w:szCs w:val="28"/>
                  <w:u w:val="single"/>
                </w:rPr>
                <w:t>S1 rubric</w:t>
              </w:r>
            </w:hyperlink>
            <w:r>
              <w:rPr>
                <w:rFonts w:ascii="Helvetica Neue" w:eastAsia="Helvetica Neue" w:hAnsi="Helvetica Neue" w:cs="Helvetica Neue"/>
                <w:color w:val="231F1F"/>
                <w:sz w:val="28"/>
                <w:szCs w:val="28"/>
              </w:rPr>
              <w:t xml:space="preserve"> in addition to any content area rubric that is used.</w:t>
            </w:r>
          </w:p>
          <w:p w:rsidR="00745578" w:rsidRDefault="00745578">
            <w:pPr>
              <w:pStyle w:val="normal0"/>
              <w:widowControl w:val="0"/>
              <w:spacing w:line="240" w:lineRule="auto"/>
            </w:pPr>
          </w:p>
        </w:tc>
      </w:tr>
    </w:tbl>
    <w:p w:rsidR="00745578" w:rsidRDefault="00745578">
      <w:pPr>
        <w:pStyle w:val="normal0"/>
        <w:jc w:val="center"/>
      </w:pPr>
    </w:p>
    <w:p w:rsidR="00745578" w:rsidRDefault="00745578">
      <w:pPr>
        <w:pStyle w:val="normal0"/>
        <w:jc w:val="center"/>
      </w:pPr>
    </w:p>
    <w:p w:rsidR="00745578" w:rsidRDefault="00745578">
      <w:pPr>
        <w:pStyle w:val="normal0"/>
        <w:jc w:val="center"/>
      </w:pPr>
    </w:p>
    <w:p w:rsidR="00745578" w:rsidRDefault="00745578">
      <w:pPr>
        <w:pStyle w:val="normal0"/>
        <w:jc w:val="center"/>
      </w:pPr>
    </w:p>
    <w:p w:rsidR="00143A61" w:rsidRDefault="00143A61">
      <w:pPr>
        <w:pStyle w:val="normal0"/>
        <w:jc w:val="center"/>
      </w:pPr>
    </w:p>
    <w:p w:rsidR="00143A61" w:rsidRDefault="00143A61">
      <w:pPr>
        <w:pStyle w:val="normal0"/>
        <w:jc w:val="center"/>
      </w:pPr>
    </w:p>
    <w:p w:rsidR="00143A61" w:rsidRDefault="00143A61">
      <w:pPr>
        <w:pStyle w:val="normal0"/>
        <w:jc w:val="center"/>
      </w:pPr>
    </w:p>
    <w:p w:rsidR="00143A61" w:rsidRDefault="00143A61">
      <w:pPr>
        <w:pStyle w:val="normal0"/>
        <w:jc w:val="center"/>
      </w:pPr>
    </w:p>
    <w:p w:rsidR="00143A61" w:rsidRDefault="00143A61">
      <w:pPr>
        <w:pStyle w:val="normal0"/>
        <w:jc w:val="center"/>
      </w:pPr>
    </w:p>
    <w:p w:rsidR="00745578" w:rsidRDefault="00745578">
      <w:pPr>
        <w:pStyle w:val="normal0"/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5578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Helvetica Neue" w:eastAsia="Helvetica Neue" w:hAnsi="Helvetica Neue" w:cs="Helvetica Neue"/>
                <w:b/>
              </w:rPr>
              <w:t>Contributors: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745578">
            <w:pPr>
              <w:pStyle w:val="normal0"/>
              <w:widowControl w:val="0"/>
              <w:spacing w:line="240" w:lineRule="auto"/>
              <w:jc w:val="center"/>
            </w:pPr>
          </w:p>
        </w:tc>
      </w:tr>
      <w:tr w:rsidR="00745578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Helvetica Neue" w:eastAsia="Helvetica Neue" w:hAnsi="Helvetica Neue" w:cs="Helvetica Neue"/>
                <w:b/>
              </w:rPr>
              <w:t>Performance Assessment Specifications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Assessment Title</w:t>
            </w:r>
            <w:proofErr w:type="gramStart"/>
            <w:r>
              <w:rPr>
                <w:rFonts w:ascii="Helvetica Neue" w:eastAsia="Helvetica Neue" w:hAnsi="Helvetica Neue" w:cs="Helvetica Neue"/>
                <w:b/>
              </w:rPr>
              <w:t xml:space="preserve">:  </w:t>
            </w:r>
            <w:proofErr w:type="gramEnd"/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 xml:space="preserve">Suggested Grade Level: 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Content Area/Areas: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Estimated Duration of Task: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Materials Needed:</w:t>
            </w:r>
          </w:p>
        </w:tc>
      </w:tr>
      <w:tr w:rsidR="00745578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Helvetica Neue" w:eastAsia="Helvetica Neue" w:hAnsi="Helvetica Neue" w:cs="Helvetica Neue"/>
                <w:b/>
              </w:rPr>
              <w:t>Desired Results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Transferable Skills: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Content Area PBGRs and Performance Indicators: (the project may assess PBGR’s from several content areas.)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Big Ideas/Essential Questions: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Task Context/Rationale: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Supporting Standards: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 What students need to know and be able to do before starting this project:</w:t>
            </w:r>
          </w:p>
        </w:tc>
      </w:tr>
      <w:tr w:rsidR="00745578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Helvetica Neue" w:eastAsia="Helvetica Neue" w:hAnsi="Helvetica Neue" w:cs="Helvetica Neue"/>
                <w:b/>
              </w:rPr>
              <w:t>Evidence of Student Learning</w:t>
            </w:r>
          </w:p>
          <w:p w:rsidR="00745578" w:rsidRDefault="00143A61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Helvetica Neue" w:eastAsia="Helvetica Neue" w:hAnsi="Helvetica Neue" w:cs="Helvetica Neue"/>
                <w:i/>
              </w:rPr>
              <w:t xml:space="preserve">In the space below, describe the products/ evidence that students will produce. 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745578">
            <w:pPr>
              <w:pStyle w:val="normal0"/>
              <w:widowControl w:val="0"/>
              <w:spacing w:line="240" w:lineRule="auto"/>
            </w:pP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Rubric that will be used to assess content area PBGRs for this project. (Insert link here)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</w:rPr>
              <w:t>Rubric that will be used to assess Transferable Skill PBGRs for this project. (Insert link here)</w:t>
            </w:r>
          </w:p>
        </w:tc>
      </w:tr>
      <w:tr w:rsidR="00745578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Helvetica Neue" w:eastAsia="Helvetica Neue" w:hAnsi="Helvetica Neue" w:cs="Helvetica Neue"/>
                <w:b/>
              </w:rPr>
              <w:t>Formative/Supporting Activities</w:t>
            </w:r>
          </w:p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i/>
              </w:rPr>
              <w:t>In the space below, describe the l</w:t>
            </w:r>
            <w:r>
              <w:rPr>
                <w:rFonts w:ascii="Helvetica Neue" w:eastAsia="Helvetica Neue" w:hAnsi="Helvetica Neue" w:cs="Helvetica Neue"/>
                <w:i/>
              </w:rPr>
              <w:t>abs, text-based discussions, formative assessments or other activities that students will participate in before completing the summative assessment</w:t>
            </w:r>
            <w:r>
              <w:rPr>
                <w:rFonts w:ascii="Helvetica Neue" w:eastAsia="Helvetica Neue" w:hAnsi="Helvetica Neue" w:cs="Helvetica Neue"/>
                <w:b/>
                <w:i/>
              </w:rPr>
              <w:t>. In order for the students to fulfill the requirements of the task model, they must be able to participate i</w:t>
            </w:r>
            <w:r>
              <w:rPr>
                <w:rFonts w:ascii="Helvetica Neue" w:eastAsia="Helvetica Neue" w:hAnsi="Helvetica Neue" w:cs="Helvetica Neue"/>
                <w:b/>
                <w:i/>
              </w:rPr>
              <w:t>n at least one full-class, text-based discussion before creating their final product.</w:t>
            </w:r>
          </w:p>
          <w:p w:rsidR="00745578" w:rsidRDefault="00143A61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i/>
              </w:rPr>
              <w:t>Add as many rows as you need for formative or supporting activities.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745578">
            <w:pPr>
              <w:pStyle w:val="normal0"/>
              <w:widowControl w:val="0"/>
              <w:spacing w:line="240" w:lineRule="auto"/>
            </w:pP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745578">
            <w:pPr>
              <w:pStyle w:val="normal0"/>
              <w:widowControl w:val="0"/>
              <w:spacing w:line="240" w:lineRule="auto"/>
            </w:pP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745578">
            <w:pPr>
              <w:pStyle w:val="normal0"/>
              <w:widowControl w:val="0"/>
              <w:spacing w:line="240" w:lineRule="auto"/>
            </w:pPr>
          </w:p>
        </w:tc>
      </w:tr>
      <w:tr w:rsidR="00745578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143A61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Helvetica Neue" w:eastAsia="Helvetica Neue" w:hAnsi="Helvetica Neue" w:cs="Helvetica Neue"/>
                <w:b/>
              </w:rPr>
              <w:t>Links to Supporting Materials</w:t>
            </w:r>
          </w:p>
        </w:tc>
      </w:tr>
      <w:tr w:rsidR="007455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578" w:rsidRDefault="00745578">
            <w:pPr>
              <w:pStyle w:val="normal0"/>
              <w:widowControl w:val="0"/>
              <w:spacing w:line="240" w:lineRule="auto"/>
            </w:pPr>
          </w:p>
        </w:tc>
      </w:tr>
    </w:tbl>
    <w:p w:rsidR="00745578" w:rsidRDefault="00745578">
      <w:pPr>
        <w:pStyle w:val="normal0"/>
      </w:pPr>
    </w:p>
    <w:p w:rsidR="00745578" w:rsidRDefault="00745578">
      <w:pPr>
        <w:pStyle w:val="normal0"/>
      </w:pPr>
    </w:p>
    <w:p w:rsidR="00745578" w:rsidRDefault="00143A61">
      <w:pPr>
        <w:pStyle w:val="normal0"/>
      </w:pPr>
      <w:r>
        <w:rPr>
          <w:rFonts w:ascii="Helvetica Neue" w:eastAsia="Helvetica Neue" w:hAnsi="Helvetica Neue" w:cs="Helvetica Neue"/>
          <w:b/>
        </w:rPr>
        <w:t xml:space="preserve">As you prepare instructional activities and materials, keep in mind these guidelines from the National Research </w:t>
      </w:r>
      <w:proofErr w:type="gramStart"/>
      <w:r>
        <w:rPr>
          <w:rFonts w:ascii="Helvetica Neue" w:eastAsia="Helvetica Neue" w:hAnsi="Helvetica Neue" w:cs="Helvetica Neue"/>
          <w:b/>
        </w:rPr>
        <w:t>Council  about</w:t>
      </w:r>
      <w:proofErr w:type="gramEnd"/>
      <w:r>
        <w:rPr>
          <w:rFonts w:ascii="Helvetica Neue" w:eastAsia="Helvetica Neue" w:hAnsi="Helvetica Neue" w:cs="Helvetica Neue"/>
          <w:b/>
        </w:rPr>
        <w:t xml:space="preserve"> the features of tasks that help students strengthen and demonstrate transferable skills:</w:t>
      </w:r>
    </w:p>
    <w:p w:rsidR="00745578" w:rsidRDefault="00745578">
      <w:pPr>
        <w:pStyle w:val="normal0"/>
        <w:spacing w:line="240" w:lineRule="auto"/>
      </w:pPr>
    </w:p>
    <w:p w:rsidR="00745578" w:rsidRDefault="00143A61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Using multiple and varied representatio</w:t>
      </w:r>
      <w:r>
        <w:rPr>
          <w:rFonts w:ascii="Helvetica Neue" w:eastAsia="Helvetica Neue" w:hAnsi="Helvetica Neue" w:cs="Helvetica Neue"/>
        </w:rPr>
        <w:t>ns of concepts and tasks, such as diagrams, numerical and mathematical representations, and simulations, combined with activities and guidance that support mapping across the varied representations.</w:t>
      </w:r>
    </w:p>
    <w:p w:rsidR="00745578" w:rsidRDefault="00745578">
      <w:pPr>
        <w:pStyle w:val="normal0"/>
      </w:pPr>
    </w:p>
    <w:p w:rsidR="00745578" w:rsidRDefault="00143A61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Encouraging elaboration, questioning, and explanation—fo</w:t>
      </w:r>
      <w:r>
        <w:rPr>
          <w:rFonts w:ascii="Helvetica Neue" w:eastAsia="Helvetica Neue" w:hAnsi="Helvetica Neue" w:cs="Helvetica Neue"/>
        </w:rPr>
        <w:t>r example, prompting students who are reading a history text to think about the author’s intent and/or to explain specific information and arguments as they read—either silently to themselves or to others.</w:t>
      </w:r>
    </w:p>
    <w:p w:rsidR="00745578" w:rsidRDefault="00745578">
      <w:pPr>
        <w:pStyle w:val="normal0"/>
      </w:pPr>
    </w:p>
    <w:p w:rsidR="00745578" w:rsidRDefault="00143A61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Engaging learners in challenging tasks, while als</w:t>
      </w:r>
      <w:r>
        <w:rPr>
          <w:rFonts w:ascii="Helvetica Neue" w:eastAsia="Helvetica Neue" w:hAnsi="Helvetica Neue" w:cs="Helvetica Neue"/>
        </w:rPr>
        <w:t>o supporting them with guidance, feedback, and encouragement to reflect on their own learning processes and the status of their understanding.</w:t>
      </w:r>
    </w:p>
    <w:p w:rsidR="00745578" w:rsidRDefault="00745578">
      <w:pPr>
        <w:pStyle w:val="normal0"/>
      </w:pPr>
    </w:p>
    <w:p w:rsidR="00745578" w:rsidRDefault="00143A61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Teaching with examples and cases, such as modeling step-by step how students can carry out a procedure to solve </w:t>
      </w:r>
      <w:r>
        <w:rPr>
          <w:rFonts w:ascii="Helvetica Neue" w:eastAsia="Helvetica Neue" w:hAnsi="Helvetica Neue" w:cs="Helvetica Neue"/>
        </w:rPr>
        <w:t>a problem and using sets of worked examples.</w:t>
      </w:r>
    </w:p>
    <w:p w:rsidR="00745578" w:rsidRDefault="00745578">
      <w:pPr>
        <w:pStyle w:val="normal0"/>
      </w:pPr>
    </w:p>
    <w:p w:rsidR="00745578" w:rsidRDefault="00143A61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Priming student motivation by connecting topics to students’ personal lives and interests, engaging students in collaborative problem solving, and drawing attention to the knowledge and skills students are deve</w:t>
      </w:r>
      <w:r>
        <w:rPr>
          <w:rFonts w:ascii="Helvetica Neue" w:eastAsia="Helvetica Neue" w:hAnsi="Helvetica Neue" w:cs="Helvetica Neue"/>
        </w:rPr>
        <w:t>loping, rather than grades or scores.</w:t>
      </w:r>
    </w:p>
    <w:p w:rsidR="00745578" w:rsidRDefault="00745578">
      <w:pPr>
        <w:pStyle w:val="normal0"/>
      </w:pPr>
    </w:p>
    <w:p w:rsidR="00745578" w:rsidRDefault="00143A61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Using formative assessment to: (a) make learning goals clear to students; (b) continuously monitor, provide feedback, and respond to students’ learning progress; and (c) involve students in self- and peer assessment.</w:t>
      </w:r>
    </w:p>
    <w:p w:rsidR="00745578" w:rsidRDefault="00745578">
      <w:pPr>
        <w:pStyle w:val="normal0"/>
      </w:pPr>
    </w:p>
    <w:p w:rsidR="00745578" w:rsidRDefault="00143A61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Use modeling and feedback techniques that highlight the processes of thinking rather than focusing exclusively on the products of thinking. </w:t>
      </w:r>
    </w:p>
    <w:p w:rsidR="00745578" w:rsidRDefault="00745578">
      <w:pPr>
        <w:pStyle w:val="normal0"/>
      </w:pPr>
    </w:p>
    <w:sectPr w:rsidR="007455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4A44"/>
    <w:multiLevelType w:val="multilevel"/>
    <w:tmpl w:val="B62AFF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14042A2"/>
    <w:multiLevelType w:val="multilevel"/>
    <w:tmpl w:val="EF24CD5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45578"/>
    <w:rsid w:val="00143A61"/>
    <w:rsid w:val="007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ocs.google.com/document/d/101ynvVyxWiQyd_v8knmfhyuakJCo1EWzKTyCZWNP8MQ/edit?usp=sharin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3780</Characters>
  <Application>Microsoft Macintosh Word</Application>
  <DocSecurity>0</DocSecurity>
  <Lines>31</Lines>
  <Paragraphs>8</Paragraphs>
  <ScaleCrop>false</ScaleCrop>
  <Company>Great Schools Partnership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 Piirainen</cp:lastModifiedBy>
  <cp:revision>2</cp:revision>
  <dcterms:created xsi:type="dcterms:W3CDTF">2015-06-02T19:45:00Z</dcterms:created>
  <dcterms:modified xsi:type="dcterms:W3CDTF">2015-06-02T19:45:00Z</dcterms:modified>
</cp:coreProperties>
</file>