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Helvetica Neue" w:cs="Helvetica Neue" w:eastAsia="Helvetica Neue" w:hAnsi="Helvetica Neue"/>
          <w:sz w:val="36"/>
          <w:szCs w:val="36"/>
        </w:rPr>
      </w:pPr>
      <w:r w:rsidDel="00000000" w:rsidR="00000000" w:rsidRPr="00000000">
        <w:rPr>
          <w:rFonts w:ascii="Helvetica Neue" w:cs="Helvetica Neue" w:eastAsia="Helvetica Neue" w:hAnsi="Helvetica Neue"/>
          <w:sz w:val="36"/>
          <w:szCs w:val="36"/>
          <w:rtl w:val="0"/>
        </w:rPr>
        <w:t xml:space="preserve"> Performance </w:t>
      </w:r>
      <w:r w:rsidDel="00000000" w:rsidR="00000000" w:rsidRPr="00000000">
        <w:rPr>
          <w:rFonts w:ascii="Helvetica Neue" w:cs="Helvetica Neue" w:eastAsia="Helvetica Neue" w:hAnsi="Helvetica Neue"/>
          <w:sz w:val="36"/>
          <w:szCs w:val="36"/>
          <w:rtl w:val="0"/>
        </w:rPr>
        <w:t xml:space="preserve">Assessment </w:t>
      </w:r>
      <w:r w:rsidDel="00000000" w:rsidR="00000000" w:rsidRPr="00000000">
        <w:rPr>
          <w:rFonts w:ascii="Helvetica Neue" w:cs="Helvetica Neue" w:eastAsia="Helvetica Neue" w:hAnsi="Helvetica Neue"/>
          <w:sz w:val="36"/>
          <w:szCs w:val="36"/>
          <w:rtl w:val="0"/>
        </w:rPr>
        <w:t xml:space="preserve">Planning Template</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i w:val="1"/>
        </w:rPr>
      </w:pPr>
      <w:r w:rsidDel="00000000" w:rsidR="00000000" w:rsidRPr="00000000">
        <w:rPr>
          <w:rFonts w:ascii="Helvetica Neue" w:cs="Helvetica Neue" w:eastAsia="Helvetica Neue" w:hAnsi="Helvetica Neue"/>
          <w:i w:val="1"/>
          <w:rtl w:val="0"/>
        </w:rPr>
        <w:t xml:space="preserve">This template may be used to complete “Stage 2” of an Understanding By Design Unit Plan</w:t>
      </w:r>
      <w:r w:rsidDel="00000000" w:rsidR="00000000" w:rsidRPr="00000000">
        <w:rPr>
          <w:rFonts w:ascii="Helvetica Neue" w:cs="Helvetica Neue" w:eastAsia="Helvetica Neue" w:hAnsi="Helvetica Neue"/>
          <w:i w:val="1"/>
          <w:rtl w:val="0"/>
        </w:rPr>
        <w:t xml:space="preserve">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9daf8" w:val="clear"/>
            <w:tcMar>
              <w:top w:w="100.0" w:type="dxa"/>
              <w:left w:w="100.0" w:type="dxa"/>
              <w:bottom w:w="100.0" w:type="dxa"/>
              <w:right w:w="100.0" w:type="dxa"/>
            </w:tcMar>
            <w:vAlign w:val="top"/>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Contributors:</w:t>
            </w:r>
          </w:p>
        </w:tc>
      </w:tr>
      <w:tr>
        <w:tc>
          <w:tcPr>
            <w:tcMar>
              <w:top w:w="100.0" w:type="dxa"/>
              <w:left w:w="100.0" w:type="dxa"/>
              <w:bottom w:w="100.0" w:type="dxa"/>
              <w:right w:w="100.0" w:type="dxa"/>
            </w:tcMar>
            <w:vAlign w:val="top"/>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Contributors: </w:t>
            </w:r>
            <w:r w:rsidDel="00000000" w:rsidR="00000000" w:rsidRPr="00000000">
              <w:rPr>
                <w:rFonts w:ascii="Helvetica Neue" w:cs="Helvetica Neue" w:eastAsia="Helvetica Neue" w:hAnsi="Helvetica Neue"/>
                <w:rtl w:val="0"/>
              </w:rPr>
              <w:t xml:space="preserve">Ms. Katie Fisher</w:t>
            </w:r>
          </w:p>
        </w:tc>
      </w:tr>
      <w:tr>
        <w:tc>
          <w:tcPr>
            <w:tcMar>
              <w:top w:w="100.0" w:type="dxa"/>
              <w:left w:w="100.0" w:type="dxa"/>
              <w:bottom w:w="100.0" w:type="dxa"/>
              <w:right w:w="100.0" w:type="dxa"/>
            </w:tcMar>
            <w:vAlign w:val="top"/>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Date of Planning Session: </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Assessment Specifications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Assessment Title:  </w:t>
            </w:r>
            <w:r w:rsidDel="00000000" w:rsidR="00000000" w:rsidRPr="00000000">
              <w:rPr>
                <w:rFonts w:ascii="Helvetica Neue" w:cs="Helvetica Neue" w:eastAsia="Helvetica Neue" w:hAnsi="Helvetica Neue"/>
                <w:rtl w:val="0"/>
              </w:rPr>
              <w:t xml:space="preserve">Why do chemical reactions occur?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Grade Level: </w:t>
            </w:r>
            <w:r w:rsidDel="00000000" w:rsidR="00000000" w:rsidRPr="00000000">
              <w:rPr>
                <w:rFonts w:ascii="Helvetica Neue" w:cs="Helvetica Neue" w:eastAsia="Helvetica Neue" w:hAnsi="Helvetica Neue"/>
                <w:rtl w:val="0"/>
              </w:rPr>
              <w:t xml:space="preserve">10th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Content Area/Areas: </w:t>
            </w:r>
            <w:r w:rsidDel="00000000" w:rsidR="00000000" w:rsidRPr="00000000">
              <w:rPr>
                <w:rFonts w:ascii="Helvetica Neue" w:cs="Helvetica Neue" w:eastAsia="Helvetica Neue" w:hAnsi="Helvetica Neue"/>
                <w:rtl w:val="0"/>
              </w:rPr>
              <w:t xml:space="preserve">Chemistry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Materials Needed: </w:t>
            </w:r>
            <w:r w:rsidDel="00000000" w:rsidR="00000000" w:rsidRPr="00000000">
              <w:rPr>
                <w:rFonts w:ascii="Helvetica Neue" w:cs="Helvetica Neue" w:eastAsia="Helvetica Neue" w:hAnsi="Helvetica Neue"/>
                <w:rtl w:val="0"/>
              </w:rPr>
              <w:t xml:space="preserve">See </w:t>
            </w:r>
            <w:hyperlink r:id="rId6">
              <w:r w:rsidDel="00000000" w:rsidR="00000000" w:rsidRPr="00000000">
                <w:rPr>
                  <w:rFonts w:ascii="Helvetica Neue" w:cs="Helvetica Neue" w:eastAsia="Helvetica Neue" w:hAnsi="Helvetica Neue"/>
                  <w:color w:val="1155cc"/>
                  <w:u w:val="single"/>
                  <w:rtl w:val="0"/>
                </w:rPr>
                <w:t xml:space="preserve">unit plan</w:t>
              </w:r>
            </w:hyperlink>
            <w:r w:rsidDel="00000000" w:rsidR="00000000" w:rsidRPr="00000000">
              <w:rPr>
                <w:rFonts w:ascii="Helvetica Neue" w:cs="Helvetica Neue" w:eastAsia="Helvetica Neue" w:hAnsi="Helvetica Neue"/>
                <w:rtl w:val="0"/>
              </w:rPr>
              <w:t xml:space="preserve"> for more details</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Desired Results</w:t>
            </w:r>
            <w:r w:rsidDel="00000000" w:rsidR="00000000" w:rsidRPr="00000000">
              <w:rPr>
                <w:rFonts w:ascii="Helvetica Neue" w:cs="Helvetica Neue" w:eastAsia="Helvetica Neue" w:hAnsi="Helvetica Neue"/>
                <w:b w:val="1"/>
                <w:rtl w:val="0"/>
              </w:rPr>
              <w:t xml:space="preserve"> (from Stage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Which content-area proficiencies and performance indicators will this task assess?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Physical Sciences: Structure/Properties of Matter, Forces, and Interactions (PS 1 + PS 2)</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Use the periodic table as a model to predict the relative properties of</w:t>
              <w:br w:type="textWrapping"/>
              <w:t xml:space="preserve">elements based on the patterns of electrons in the outermost energy level of</w:t>
              <w:br w:type="textWrapping"/>
              <w:t xml:space="preserve">atoms. (HS-PS1-1)</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Construct and revise an explanation for the outcome of a simple chemical</w:t>
              <w:br w:type="textWrapping"/>
              <w:t xml:space="preserve">reaction based on the outermost electron states of atoms, trends in the periodic</w:t>
              <w:br w:type="textWrapping"/>
              <w:t xml:space="preserve">table, and knowledge of the patterns of chemical properties. (HS-PS1-2)</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Which cross-curricular proficiencies and performance indicators will this task assess?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Essential Question: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do models help scientists predict phenomena?</w:t>
              <w:br w:type="textWrapping"/>
              <w:t xml:space="preserve">Why do chemical reactions occur?</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Enduring Understandings: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The periodic table is a powerful model that describes and predicts properties and trends of elements.</w:t>
              <w:br w:type="textWrapping"/>
              <w:t xml:space="preserve">2. All matter is made up of elements that react and combine in ways that can be explained and predicted.</w:t>
              <w:br w:type="textWrapping"/>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The periodic table can be used to predict trends in the chemical and physical properties of compounds made from simple chemical reactions between elements or an element and a compound.</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bl>
            <w:tblPr>
              <w:tblStyle w:val="Table1"/>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3"/>
              <w:gridCol w:w="4413"/>
              <w:tblGridChange w:id="0">
                <w:tblGrid>
                  <w:gridCol w:w="4413"/>
                  <w:gridCol w:w="44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Skills (students will be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Content (students know…)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Describe basic atom structure of elements</w:t>
                  </w:r>
                </w:p>
                <w:p w:rsidR="00000000" w:rsidDel="00000000" w:rsidP="00000000" w:rsidRDefault="00000000" w:rsidRPr="00000000" w14:paraId="00000022">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Describe important physical and chemical properties of elements</w:t>
                  </w:r>
                </w:p>
                <w:p w:rsidR="00000000" w:rsidDel="00000000" w:rsidP="00000000" w:rsidRDefault="00000000" w:rsidRPr="00000000" w14:paraId="00000023">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Use the periodic table to explain patterns across a row and in a column</w:t>
                  </w:r>
                </w:p>
                <w:p w:rsidR="00000000" w:rsidDel="00000000" w:rsidP="00000000" w:rsidRDefault="00000000" w:rsidRPr="00000000" w14:paraId="00000024">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Use the periodic table to determine the number of electrons in the outermost energy level</w:t>
                  </w:r>
                </w:p>
                <w:p w:rsidR="00000000" w:rsidDel="00000000" w:rsidP="00000000" w:rsidRDefault="00000000" w:rsidRPr="00000000" w14:paraId="00000025">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Predict physical and chemical properties of an atom given</w:t>
                    <w:br w:type="textWrapping"/>
                    <w:t xml:space="preserve">its electronic structure</w:t>
                  </w:r>
                </w:p>
                <w:p w:rsidR="00000000" w:rsidDel="00000000" w:rsidP="00000000" w:rsidRDefault="00000000" w:rsidRPr="00000000" w14:paraId="00000026">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Balance chemical equations</w:t>
                  </w:r>
                </w:p>
                <w:p w:rsidR="00000000" w:rsidDel="00000000" w:rsidP="00000000" w:rsidRDefault="00000000" w:rsidRPr="00000000" w14:paraId="00000027">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Apply an understanding of physical and chemical properties of matter to practical situations</w:t>
                  </w:r>
                </w:p>
                <w:p w:rsidR="00000000" w:rsidDel="00000000" w:rsidP="00000000" w:rsidRDefault="00000000" w:rsidRPr="00000000" w14:paraId="00000028">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Determine the product of a simple chemical reaction</w:t>
                  </w:r>
                </w:p>
                <w:p w:rsidR="00000000" w:rsidDel="00000000" w:rsidP="00000000" w:rsidRDefault="00000000" w:rsidRPr="00000000" w14:paraId="00000029">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Identify patterns, trends, and relationships that apply to solutions (Guiding Principle C.3)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to use the periodic table to make predictions about an element’s physical properties and chemical Behavior.</w:t>
                  </w:r>
                </w:p>
                <w:p w:rsidR="00000000" w:rsidDel="00000000" w:rsidP="00000000" w:rsidRDefault="00000000" w:rsidRPr="00000000" w14:paraId="0000002B">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That the arrangement of electrons in an atom is a predictor of chemical behavior.</w:t>
                  </w:r>
                </w:p>
                <w:p w:rsidR="00000000" w:rsidDel="00000000" w:rsidP="00000000" w:rsidRDefault="00000000" w:rsidRPr="00000000" w14:paraId="0000002C">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energy levels of electrons are related to the chemical properties of atoms.</w:t>
                  </w:r>
                </w:p>
              </w:tc>
            </w:tr>
          </w:tbl>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Evidence of Student Learning</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In the space below, describe the products/ evidence that students will produce.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Reference Task Model and/or Assessment Considerations (if applicable)</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31">
            <w:pPr>
              <w:widowControl w:val="0"/>
              <w:spacing w:line="240" w:lineRule="auto"/>
              <w:ind w:left="72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criteria must be included? </w:t>
            </w:r>
          </w:p>
          <w:p w:rsidR="00000000" w:rsidDel="00000000" w:rsidP="00000000" w:rsidRDefault="00000000" w:rsidRPr="00000000" w14:paraId="00000032">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3">
            <w:pPr>
              <w:widowControl w:val="0"/>
              <w:spacing w:line="240" w:lineRule="auto"/>
              <w:ind w:left="72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4">
            <w:pPr>
              <w:widowControl w:val="0"/>
              <w:spacing w:line="240" w:lineRule="auto"/>
              <w:ind w:left="72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evidence will students show of their learning?</w:t>
            </w:r>
          </w:p>
          <w:p w:rsidR="00000000" w:rsidDel="00000000" w:rsidP="00000000" w:rsidRDefault="00000000" w:rsidRPr="00000000" w14:paraId="00000035">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Task Description/Instructions: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Part 1 HS-PS1-1: </w:t>
            </w:r>
            <w:r w:rsidDel="00000000" w:rsidR="00000000" w:rsidRPr="00000000">
              <w:rPr>
                <w:rFonts w:ascii="Helvetica Neue" w:cs="Helvetica Neue" w:eastAsia="Helvetica Neue" w:hAnsi="Helvetica Neue"/>
                <w:rtl w:val="0"/>
              </w:rPr>
              <w:t xml:space="preserve">Demonstration of each student’s ability to analyze observed relative and physical and chemical properties of elements and classify them appropriately in the periodic table.</w:t>
              <w:br w:type="textWrapping"/>
              <w:t xml:space="preserve">Given a location of an element on the periodic table:</w:t>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Predict physical and chemical properties of the element, including reference to</w:t>
              <w:br w:type="textWrapping"/>
              <w:t xml:space="preserve">- the electron configuration of the element and how this configuration explains its properties</w:t>
              <w:br w:type="textWrapping"/>
              <w:t xml:space="preserve">- the relationship between the number of valence electrons and the reactivity of the element</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Based on the location of this element on the periodic table, name elements that are more or less reactive than the element described, and support your rationale with relevant evidence.</w:t>
              <w:br w:type="textWrapping"/>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Part 2 HS-PS1-2: </w:t>
            </w:r>
            <w:r w:rsidDel="00000000" w:rsidR="00000000" w:rsidRPr="00000000">
              <w:rPr>
                <w:rFonts w:ascii="Helvetica Neue" w:cs="Helvetica Neue" w:eastAsia="Helvetica Neue" w:hAnsi="Helvetica Neue"/>
                <w:rtl w:val="0"/>
              </w:rPr>
              <w:t xml:space="preserve">Construct and revise an explanation for the outcome of a simple chemical reaction based on the outermost electron states of atoms, trends in the periodic table, and knowledge of the patterns of chemical properties.</w:t>
              <w:br w:type="textWrapping"/>
              <w:t xml:space="preserve">GP-C.3 Creative and Practical Problem Solver: Identify patterns, trends, and relationships that apply to solutions.</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Given two elements, use the periodic table to:</w:t>
              <w:br w:type="textWrapping"/>
            </w:r>
          </w:p>
          <w:p w:rsidR="00000000" w:rsidDel="00000000" w:rsidP="00000000" w:rsidRDefault="00000000" w:rsidRPr="00000000" w14:paraId="0000003F">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Describe and illustrate (using a Lewis Dot structure) the electron configuration of each element and use the configuration as a rationale to explain its properties</w:t>
            </w:r>
          </w:p>
          <w:p w:rsidR="00000000" w:rsidDel="00000000" w:rsidP="00000000" w:rsidRDefault="00000000" w:rsidRPr="00000000" w14:paraId="00000040">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Predict the outcome of the chemical combination of these two elements by writing and balancing a chemical equation</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After watching a series of videos of the two elements reacting, (with no verbal explanation) use your knowledge of the periodic table to:</w:t>
              <w:br w:type="textWrapping"/>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Explain the outcome of the reaction</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 What conditions were essential for the reaction to occur?</w:t>
              <w:br w:type="textWrapping"/>
              <w:t xml:space="preserve">- Support observations from the reaction using periodic trends, patterns, and relationships of elements</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Identify the product formed as a result of the chemical reaction</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Write and balance a chemical reaction for what occurred in the video</w:t>
              <w:br w:type="textWrapping"/>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Reflection:</w:t>
            </w:r>
            <w:r w:rsidDel="00000000" w:rsidR="00000000" w:rsidRPr="00000000">
              <w:rPr>
                <w:rFonts w:ascii="Helvetica Neue" w:cs="Helvetica Neue" w:eastAsia="Helvetica Neue" w:hAnsi="Helvetica Neue"/>
                <w:rtl w:val="0"/>
              </w:rPr>
              <w:br w:type="textWrapping"/>
              <w:t xml:space="preserve">- Was your initial prediction supported by the evidence in the video?</w:t>
              <w:br w:type="textWrapping"/>
              <w:t xml:space="preserve">- How did your explanation of the reaction change as a result of watching the video of the reaction?</w:t>
              <w:br w:type="textWrapping"/>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Extension/Challenge:</w:t>
            </w:r>
            <w:r w:rsidDel="00000000" w:rsidR="00000000" w:rsidRPr="00000000">
              <w:rPr>
                <w:rFonts w:ascii="Helvetica Neue" w:cs="Helvetica Neue" w:eastAsia="Helvetica Neue" w:hAnsi="Helvetica Neue"/>
                <w:rtl w:val="0"/>
              </w:rPr>
              <w:br w:type="textWrapping"/>
              <w:t xml:space="preserve">Given information from an analysis (atomic weights, electron structure, etc.) of new elements from a newly discovered solar system, use the properties from the analysis to propose a new periodic table that shows the trends and properties of these new elements.</w:t>
              <w:br w:type="textWrapping"/>
              <w:t xml:space="preserve">(HS-PS1-1, HS-PS1-2, C.3)</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Why is this important to students?</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Everything around us, all matter, living and nonliving, is made up of atoms of elements with predictable properties. The periodic table is organized by these properties. If we understand the periodic table, we can use it as a tool to not only identify properties of individual elements, but also to predict how elements interact with one another. Understanding how elements interact with one another can help us to explain the processes happening all around us, from the atoms making up our bodies to the atoms making up our universe.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Rubric that will be used to assess content-area performance indicators for this project</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Assessment </w:t>
            </w:r>
            <w:hyperlink r:id="rId7">
              <w:r w:rsidDel="00000000" w:rsidR="00000000" w:rsidRPr="00000000">
                <w:rPr>
                  <w:rFonts w:ascii="Helvetica Neue" w:cs="Helvetica Neue" w:eastAsia="Helvetica Neue" w:hAnsi="Helvetica Neue"/>
                  <w:color w:val="1155cc"/>
                  <w:u w:val="single"/>
                  <w:rtl w:val="0"/>
                </w:rPr>
                <w:t xml:space="preserve">Scoring Criteria</w:t>
              </w:r>
            </w:hyperlink>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Links to Supporting Materials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hyperlink r:id="rId8">
              <w:r w:rsidDel="00000000" w:rsidR="00000000" w:rsidRPr="00000000">
                <w:rPr>
                  <w:rFonts w:ascii="Helvetica Neue" w:cs="Helvetica Neue" w:eastAsia="Helvetica Neue" w:hAnsi="Helvetica Neue"/>
                  <w:b w:val="1"/>
                  <w:color w:val="1155cc"/>
                  <w:u w:val="single"/>
                  <w:rtl w:val="0"/>
                </w:rPr>
                <w:t xml:space="preserve">Click</w:t>
              </w:r>
            </w:hyperlink>
            <w:r w:rsidDel="00000000" w:rsidR="00000000" w:rsidRPr="00000000">
              <w:rPr>
                <w:rFonts w:ascii="Helvetica Neue" w:cs="Helvetica Neue" w:eastAsia="Helvetica Neue" w:hAnsi="Helvetica Neue"/>
                <w:b w:val="1"/>
                <w:rtl w:val="0"/>
              </w:rPr>
              <w:t xml:space="preserve"> here to access complete Unit Plan</w:t>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sectPr>
      <w:headerReference r:id="rId9" w:type="default"/>
      <w:foot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114300" distT="114300" distL="114300" distR="114300">
          <wp:extent cx="1438275" cy="533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38275" cy="533400"/>
                  </a:xfrm>
                  <a:prstGeom prst="rect"/>
                  <a:ln/>
                </pic:spPr>
              </pic:pic>
            </a:graphicData>
          </a:graphic>
        </wp:inline>
      </w:drawing>
    </w:r>
    <w:r w:rsidDel="00000000" w:rsidR="00000000" w:rsidRPr="00000000">
      <w:rPr/>
      <w:drawing>
        <wp:inline distB="114300" distT="114300" distL="114300" distR="114300">
          <wp:extent cx="3759518" cy="438150"/>
          <wp:effectExtent b="0" l="0" r="0" t="0"/>
          <wp:docPr id="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759518" cy="4381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jc w:val="right"/>
      <w:rPr>
        <w:color w:val="ff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color w:val="ff0000"/>
        <w:rtl w:val="0"/>
      </w:rPr>
      <w:t xml:space="preserve">RI Champions Draft March 2018</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newenglandssc.org/wp-content/uploads/2015/12/GSP-Unit_Science_HS_Chemistry_May-2015_v2-1.pdf" TargetMode="External"/><Relationship Id="rId7" Type="http://schemas.openxmlformats.org/officeDocument/2006/relationships/hyperlink" Target="https://docs.google.com/document/d/1IfCsKsvVOhy1nVWLAP1FeqXxK11CMBIyI5_HZTwHV4g/edit?usp=sharing" TargetMode="External"/><Relationship Id="rId8" Type="http://schemas.openxmlformats.org/officeDocument/2006/relationships/hyperlink" Target="http://newenglandssc.org/wp-content/uploads/2015/12/GSP-Unit_Science_HS_Chemistry_May-2015_v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